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CE1DE" w14:textId="77777777" w:rsidR="00054A71" w:rsidRDefault="00054A71">
      <w:pPr>
        <w:spacing w:before="6" w:line="237" w:lineRule="exact"/>
        <w:ind w:left="1440"/>
        <w:textAlignment w:val="baseline"/>
        <w:rPr>
          <w:rFonts w:ascii="Arial Narrow" w:eastAsia="Arial Narrow" w:hAnsi="Arial Narrow"/>
          <w:b/>
          <w:bCs/>
          <w:color w:val="1F497D"/>
          <w:spacing w:val="-1"/>
          <w:sz w:val="21"/>
        </w:rPr>
      </w:pPr>
    </w:p>
    <w:p w14:paraId="36A067DE" w14:textId="5E00437F" w:rsidR="003E30E6" w:rsidRPr="00354D61" w:rsidRDefault="00354D61">
      <w:pPr>
        <w:spacing w:before="6" w:line="237" w:lineRule="exact"/>
        <w:ind w:left="1440"/>
        <w:textAlignment w:val="baseline"/>
        <w:rPr>
          <w:rFonts w:ascii="Arial Rounded MT Bold" w:eastAsia="Arial Narrow" w:hAnsi="Arial Rounded MT Bold"/>
          <w:b/>
          <w:bCs/>
          <w:color w:val="1F497D"/>
          <w:spacing w:val="-1"/>
          <w:sz w:val="26"/>
          <w:szCs w:val="26"/>
        </w:rPr>
      </w:pPr>
      <w:r w:rsidRPr="00054A71">
        <w:rPr>
          <w:rFonts w:ascii="Arial Rounded MT Bold" w:hAnsi="Arial Rounded MT Bold"/>
          <w:b/>
          <w:bCs/>
          <w:sz w:val="28"/>
          <w:szCs w:val="28"/>
        </w:rPr>
        <w:pict w14:anchorId="442693FB">
          <v:shapetype id="_x0000_t202" coordsize="21600,21600" o:spt="202" path="m,l,21600r21600,l21600,xe">
            <v:stroke joinstyle="miter"/>
            <v:path gradientshapeok="t" o:connecttype="rect"/>
          </v:shapetype>
          <v:shape id="_x0000_s0" o:spid="_x0000_s1027" type="#_x0000_t202" style="position:absolute;left:0;text-align:left;margin-left:23.05pt;margin-top:42pt;width:548pt;height:101.4pt;z-index:-251659776;mso-wrap-distance-left:0;mso-wrap-distance-right:0;mso-position-horizontal-relative:page;mso-position-vertical-relative:page" filled="f" stroked="f">
            <v:textbox inset="0,0,0,0">
              <w:txbxContent>
                <w:p w14:paraId="1249065F" w14:textId="77777777" w:rsidR="00354D61" w:rsidRDefault="00354D61"/>
              </w:txbxContent>
            </v:textbox>
            <w10:wrap type="square" anchorx="page" anchory="page"/>
          </v:shape>
        </w:pict>
      </w:r>
      <w:r w:rsidRPr="00054A71">
        <w:rPr>
          <w:rFonts w:ascii="Arial Rounded MT Bold" w:hAnsi="Arial Rounded MT Bold"/>
          <w:b/>
          <w:bCs/>
          <w:sz w:val="28"/>
          <w:szCs w:val="28"/>
        </w:rPr>
        <w:pict w14:anchorId="1707EA8A">
          <v:shape id="_x0000_s1" type="#_x0000_t202" style="position:absolute;left:0;text-align:left;margin-left:23.05pt;margin-top:42.25pt;width:182.65pt;height:96.45pt;z-index:-251658752;mso-wrap-distance-left:0;mso-wrap-distance-right:0;mso-position-horizontal-relative:page;mso-position-vertical-relative:page" filled="f" stroked="f">
            <v:textbox inset="0,0,0,0">
              <w:txbxContent>
                <w:p w14:paraId="34A90885" w14:textId="77777777" w:rsidR="003E30E6" w:rsidRDefault="00354D61">
                  <w:pPr>
                    <w:textAlignment w:val="baseline"/>
                  </w:pPr>
                  <w:r>
                    <w:rPr>
                      <w:noProof/>
                    </w:rPr>
                    <w:drawing>
                      <wp:inline distT="0" distB="0" distL="0" distR="0" wp14:anchorId="5C516778" wp14:editId="39FB4A79">
                        <wp:extent cx="2319655" cy="12249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319655" cy="1224915"/>
                                </a:xfrm>
                                <a:prstGeom prst="rect">
                                  <a:avLst/>
                                </a:prstGeom>
                              </pic:spPr>
                            </pic:pic>
                          </a:graphicData>
                        </a:graphic>
                      </wp:inline>
                    </w:drawing>
                  </w:r>
                </w:p>
              </w:txbxContent>
            </v:textbox>
            <w10:wrap type="square" anchorx="page" anchory="page"/>
          </v:shape>
        </w:pict>
      </w:r>
      <w:r w:rsidRPr="00054A71">
        <w:rPr>
          <w:rFonts w:ascii="Arial Rounded MT Bold" w:hAnsi="Arial Rounded MT Bold"/>
          <w:b/>
          <w:bCs/>
          <w:sz w:val="28"/>
          <w:szCs w:val="28"/>
        </w:rPr>
        <w:pict w14:anchorId="25BD6842">
          <v:shape id="_x0000_s1026" type="#_x0000_t202" style="position:absolute;left:0;text-align:left;margin-left:94.55pt;margin-top:126.4pt;width:66.5pt;height:12.3pt;z-index:-251657728;mso-wrap-distance-left:0;mso-wrap-distance-right:0;mso-position-horizontal-relative:page;mso-position-vertical-relative:page" filled="f" stroked="f">
            <v:textbox inset="0,0,0,0">
              <w:txbxContent>
                <w:p w14:paraId="6D70758A" w14:textId="77777777" w:rsidR="003E30E6" w:rsidRDefault="00354D61">
                  <w:pPr>
                    <w:spacing w:line="236" w:lineRule="exact"/>
                    <w:textAlignment w:val="baseline"/>
                    <w:rPr>
                      <w:rFonts w:ascii="Arial Narrow" w:eastAsia="Arial Narrow" w:hAnsi="Arial Narrow"/>
                      <w:color w:val="1F497D"/>
                      <w:spacing w:val="-6"/>
                      <w:sz w:val="21"/>
                    </w:rPr>
                  </w:pPr>
                  <w:r>
                    <w:rPr>
                      <w:rFonts w:ascii="Arial Narrow" w:eastAsia="Arial Narrow" w:hAnsi="Arial Narrow"/>
                      <w:color w:val="1F497D"/>
                      <w:spacing w:val="-6"/>
                      <w:sz w:val="21"/>
                    </w:rPr>
                    <w:t>January 17, 2025</w:t>
                  </w:r>
                </w:p>
              </w:txbxContent>
            </v:textbox>
            <w10:wrap type="square" anchorx="page" anchory="page"/>
          </v:shape>
        </w:pict>
      </w:r>
      <w:r w:rsidR="00054A71">
        <w:rPr>
          <w:rFonts w:ascii="Arial Rounded MT Bold" w:eastAsia="Arial Narrow" w:hAnsi="Arial Rounded MT Bold"/>
          <w:b/>
          <w:bCs/>
          <w:color w:val="1F497D"/>
          <w:spacing w:val="-1"/>
          <w:sz w:val="28"/>
          <w:szCs w:val="28"/>
        </w:rPr>
        <w:t>Holdre</w:t>
      </w:r>
      <w:r w:rsidR="00054A71" w:rsidRPr="00354D61">
        <w:rPr>
          <w:rFonts w:ascii="Arial Rounded MT Bold" w:eastAsia="Arial Narrow" w:hAnsi="Arial Rounded MT Bold"/>
          <w:b/>
          <w:bCs/>
          <w:color w:val="1F497D"/>
          <w:spacing w:val="-1"/>
          <w:sz w:val="26"/>
          <w:szCs w:val="26"/>
        </w:rPr>
        <w:t xml:space="preserve">ge </w:t>
      </w:r>
      <w:r w:rsidR="00054A71" w:rsidRPr="00354D61">
        <w:rPr>
          <w:rFonts w:ascii="Arial Rounded MT Bold" w:eastAsia="Arial Narrow" w:hAnsi="Arial Rounded MT Bold"/>
          <w:b/>
          <w:bCs/>
          <w:color w:val="1F497D"/>
          <w:spacing w:val="-1"/>
          <w:sz w:val="26"/>
          <w:szCs w:val="26"/>
        </w:rPr>
        <w:t>LB840</w:t>
      </w:r>
      <w:r w:rsidRPr="00354D61">
        <w:rPr>
          <w:rFonts w:ascii="Arial Rounded MT Bold" w:eastAsia="Arial Narrow" w:hAnsi="Arial Rounded MT Bold"/>
          <w:b/>
          <w:bCs/>
          <w:color w:val="1F497D"/>
          <w:spacing w:val="-1"/>
          <w:sz w:val="26"/>
          <w:szCs w:val="26"/>
        </w:rPr>
        <w:t xml:space="preserve"> Sales Tax</w:t>
      </w:r>
      <w:r w:rsidR="00054A71" w:rsidRPr="00354D61">
        <w:rPr>
          <w:rFonts w:ascii="Arial Rounded MT Bold" w:eastAsia="Arial Narrow" w:hAnsi="Arial Rounded MT Bold"/>
          <w:b/>
          <w:bCs/>
          <w:color w:val="1F497D"/>
          <w:spacing w:val="-1"/>
          <w:sz w:val="26"/>
          <w:szCs w:val="26"/>
        </w:rPr>
        <w:t xml:space="preserve"> </w:t>
      </w:r>
      <w:r w:rsidR="00054A71" w:rsidRPr="00354D61">
        <w:rPr>
          <w:rFonts w:ascii="Arial Rounded MT Bold" w:eastAsia="Arial Narrow" w:hAnsi="Arial Rounded MT Bold"/>
          <w:b/>
          <w:bCs/>
          <w:color w:val="1F497D"/>
          <w:spacing w:val="-1"/>
          <w:sz w:val="26"/>
          <w:szCs w:val="26"/>
        </w:rPr>
        <w:t>I</w:t>
      </w:r>
      <w:r w:rsidR="00054A71" w:rsidRPr="00354D61">
        <w:rPr>
          <w:rFonts w:ascii="Arial Rounded MT Bold" w:eastAsia="Arial Narrow" w:hAnsi="Arial Rounded MT Bold"/>
          <w:b/>
          <w:bCs/>
          <w:color w:val="1F497D"/>
          <w:spacing w:val="-1"/>
          <w:sz w:val="26"/>
          <w:szCs w:val="26"/>
        </w:rPr>
        <w:t>nvestment</w:t>
      </w:r>
      <w:r w:rsidR="00054A71" w:rsidRPr="00354D61">
        <w:rPr>
          <w:rFonts w:ascii="Arial Rounded MT Bold" w:eastAsia="Arial Narrow" w:hAnsi="Arial Rounded MT Bold"/>
          <w:b/>
          <w:bCs/>
          <w:color w:val="1F497D"/>
          <w:spacing w:val="-1"/>
          <w:sz w:val="26"/>
          <w:szCs w:val="26"/>
        </w:rPr>
        <w:t xml:space="preserve"> Summary, 2016 Forward</w:t>
      </w:r>
      <w:bookmarkStart w:id="0" w:name="_Hlk188510535"/>
    </w:p>
    <w:p w14:paraId="79078A03" w14:textId="38A3D8EE" w:rsidR="00054A71" w:rsidRPr="00354D61" w:rsidRDefault="00054A71" w:rsidP="00354D61">
      <w:pPr>
        <w:spacing w:before="6" w:line="237" w:lineRule="exact"/>
        <w:textAlignment w:val="baseline"/>
        <w:rPr>
          <w:rFonts w:ascii="Arial Rounded MT Bold" w:eastAsia="Arial Narrow" w:hAnsi="Arial Rounded MT Bold"/>
          <w:b/>
          <w:bCs/>
          <w:color w:val="002060"/>
          <w:spacing w:val="-1"/>
          <w:sz w:val="24"/>
          <w:szCs w:val="24"/>
        </w:rPr>
      </w:pPr>
    </w:p>
    <w:bookmarkEnd w:id="0"/>
    <w:p w14:paraId="6551931D" w14:textId="0EA75E96" w:rsidR="003E30E6" w:rsidRDefault="00354D61" w:rsidP="00354D61">
      <w:pPr>
        <w:spacing w:before="65" w:line="252" w:lineRule="exact"/>
        <w:ind w:left="1440" w:right="1440" w:firstLine="360"/>
        <w:textAlignment w:val="baseline"/>
        <w:rPr>
          <w:rFonts w:ascii="Arial Narrow" w:eastAsia="Arial Narrow" w:hAnsi="Arial Narrow"/>
          <w:color w:val="1F497D"/>
          <w:spacing w:val="-1"/>
          <w:sz w:val="21"/>
        </w:rPr>
      </w:pPr>
      <w:r>
        <w:rPr>
          <w:rFonts w:ascii="Arial Narrow" w:eastAsia="Arial Narrow" w:hAnsi="Arial Narrow"/>
          <w:color w:val="1F497D"/>
          <w:spacing w:val="-1"/>
          <w:sz w:val="21"/>
        </w:rPr>
        <w:t>This memorandum provides an overview of PCDC’s application of funds to a variety of programs that address priorities established in conjunction with Phelps County business and civic leaders. PCDC’s strategic plan is guided by feedback provided through its GROW 37 Campaign and regular business interviews. It should be viewed only as an overview and not a comprehensive accounting of how LB840 funds are leveraged to stimulate private investment and make community improvement investments.</w:t>
      </w:r>
      <w:r w:rsidR="00054A71">
        <w:rPr>
          <w:rFonts w:ascii="Arial Narrow" w:eastAsia="Arial Narrow" w:hAnsi="Arial Narrow"/>
          <w:color w:val="1F497D"/>
          <w:spacing w:val="-1"/>
          <w:sz w:val="21"/>
        </w:rPr>
        <w:t xml:space="preserve"> </w:t>
      </w:r>
    </w:p>
    <w:p w14:paraId="4385DC41" w14:textId="2891F2D8" w:rsidR="00054A71" w:rsidRDefault="00354D61" w:rsidP="00354D61">
      <w:pPr>
        <w:spacing w:before="62" w:after="82" w:line="252" w:lineRule="exact"/>
        <w:ind w:left="1440" w:right="1440" w:firstLine="360"/>
        <w:textAlignment w:val="baseline"/>
        <w:rPr>
          <w:rFonts w:ascii="Arial Narrow" w:eastAsia="Arial Narrow" w:hAnsi="Arial Narrow"/>
          <w:color w:val="1F497D"/>
          <w:sz w:val="21"/>
        </w:rPr>
      </w:pPr>
      <w:r>
        <w:rPr>
          <w:rFonts w:ascii="Arial Narrow" w:eastAsia="Arial Narrow" w:hAnsi="Arial Narrow"/>
          <w:color w:val="1F497D"/>
          <w:sz w:val="21"/>
        </w:rPr>
        <w:t xml:space="preserve">More detailed reporting can be found in the semi-annual “watchdog reports” </w:t>
      </w:r>
      <w:r>
        <w:rPr>
          <w:rFonts w:ascii="Arial Narrow" w:eastAsia="Arial Narrow" w:hAnsi="Arial Narrow"/>
          <w:color w:val="1F497D"/>
          <w:sz w:val="21"/>
        </w:rPr>
        <w:t xml:space="preserve">provided to the </w:t>
      </w:r>
      <w:r>
        <w:rPr>
          <w:rFonts w:ascii="Arial Narrow" w:eastAsia="Arial Narrow" w:hAnsi="Arial Narrow"/>
          <w:color w:val="1F497D"/>
          <w:sz w:val="21"/>
        </w:rPr>
        <w:t>City Council through the Citizen’s Advisory</w:t>
      </w:r>
      <w:r>
        <w:rPr>
          <w:rFonts w:ascii="Arial Narrow" w:eastAsia="Arial Narrow" w:hAnsi="Arial Narrow"/>
          <w:color w:val="1F497D"/>
          <w:sz w:val="21"/>
        </w:rPr>
        <w:t xml:space="preserve"> Review Committee. PCDC’s annual audits of accounts are included in the semi-annual reports. Excluded from this report are funds raised from investors, which are devoted primarily to office expenses, administration, salaries and benefits. The five-year campaign contributes approximately $1 million to PCDC’s operating budget.</w:t>
      </w:r>
    </w:p>
    <w:p w14:paraId="6364E25B" w14:textId="77777777" w:rsidR="00054A71" w:rsidRDefault="00054A71" w:rsidP="00054A71">
      <w:pPr>
        <w:spacing w:before="62" w:after="82" w:line="252" w:lineRule="exact"/>
        <w:textAlignment w:val="baseline"/>
        <w:rPr>
          <w:rFonts w:ascii="Arial Narrow" w:eastAsia="Arial Narrow" w:hAnsi="Arial Narrow"/>
          <w:color w:val="1F497D"/>
          <w:sz w:val="21"/>
        </w:rPr>
      </w:pPr>
    </w:p>
    <w:tbl>
      <w:tblPr>
        <w:tblW w:w="0" w:type="auto"/>
        <w:tblLayout w:type="fixed"/>
        <w:tblCellMar>
          <w:left w:w="0" w:type="dxa"/>
          <w:right w:w="0" w:type="dxa"/>
        </w:tblCellMar>
        <w:tblLook w:val="04A0" w:firstRow="1" w:lastRow="0" w:firstColumn="1" w:lastColumn="0" w:noHBand="0" w:noVBand="1"/>
      </w:tblPr>
      <w:tblGrid>
        <w:gridCol w:w="2189"/>
        <w:gridCol w:w="1243"/>
        <w:gridCol w:w="7528"/>
      </w:tblGrid>
      <w:tr w:rsidR="003E30E6" w14:paraId="3D4855A8" w14:textId="77777777">
        <w:tblPrEx>
          <w:tblCellMar>
            <w:top w:w="0" w:type="dxa"/>
            <w:bottom w:w="0" w:type="dxa"/>
          </w:tblCellMar>
        </w:tblPrEx>
        <w:trPr>
          <w:trHeight w:hRule="exact" w:val="312"/>
        </w:trPr>
        <w:tc>
          <w:tcPr>
            <w:tcW w:w="10960" w:type="dxa"/>
            <w:gridSpan w:val="3"/>
            <w:vAlign w:val="center"/>
          </w:tcPr>
          <w:p w14:paraId="7608739D" w14:textId="77777777" w:rsidR="003E30E6" w:rsidRDefault="00354D61">
            <w:pPr>
              <w:spacing w:before="45" w:line="261" w:lineRule="exact"/>
              <w:ind w:right="5810"/>
              <w:jc w:val="right"/>
              <w:textAlignment w:val="baseline"/>
              <w:rPr>
                <w:rFonts w:ascii="Arial Narrow" w:eastAsia="Arial Narrow" w:hAnsi="Arial Narrow"/>
                <w:b/>
                <w:color w:val="01B0F0"/>
                <w:sz w:val="24"/>
              </w:rPr>
            </w:pPr>
            <w:r>
              <w:rPr>
                <w:rFonts w:ascii="Arial Narrow" w:eastAsia="Arial Narrow" w:hAnsi="Arial Narrow"/>
                <w:b/>
                <w:color w:val="01B0F0"/>
                <w:sz w:val="24"/>
              </w:rPr>
              <w:t>HOLDREGE RETURN ON INVESTMENT</w:t>
            </w:r>
          </w:p>
        </w:tc>
      </w:tr>
      <w:tr w:rsidR="003E30E6" w14:paraId="74C2A36F" w14:textId="77777777">
        <w:tblPrEx>
          <w:tblCellMar>
            <w:top w:w="0" w:type="dxa"/>
            <w:bottom w:w="0" w:type="dxa"/>
          </w:tblCellMar>
        </w:tblPrEx>
        <w:trPr>
          <w:trHeight w:hRule="exact" w:val="259"/>
        </w:trPr>
        <w:tc>
          <w:tcPr>
            <w:tcW w:w="2189" w:type="dxa"/>
            <w:vAlign w:val="center"/>
          </w:tcPr>
          <w:p w14:paraId="1B0ADF2E" w14:textId="77777777" w:rsidR="003E30E6" w:rsidRDefault="00354D61">
            <w:pPr>
              <w:spacing w:line="248" w:lineRule="exact"/>
              <w:ind w:left="1895"/>
              <w:textAlignment w:val="baseline"/>
              <w:rPr>
                <w:rFonts w:ascii="Tahoma" w:eastAsia="Tahoma" w:hAnsi="Tahoma"/>
                <w:color w:val="1F497D"/>
              </w:rPr>
            </w:pPr>
            <w:r>
              <w:rPr>
                <w:rFonts w:ascii="Tahoma" w:eastAsia="Tahoma" w:hAnsi="Tahoma"/>
                <w:color w:val="1F497D"/>
              </w:rPr>
              <w:t>•</w:t>
            </w:r>
          </w:p>
        </w:tc>
        <w:tc>
          <w:tcPr>
            <w:tcW w:w="1243" w:type="dxa"/>
            <w:vAlign w:val="center"/>
          </w:tcPr>
          <w:p w14:paraId="0B20B6B0" w14:textId="77777777" w:rsidR="003E30E6" w:rsidRDefault="00354D61">
            <w:pPr>
              <w:spacing w:line="249"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43.5%</w:t>
            </w:r>
          </w:p>
        </w:tc>
        <w:tc>
          <w:tcPr>
            <w:tcW w:w="7528" w:type="dxa"/>
            <w:vAlign w:val="center"/>
          </w:tcPr>
          <w:p w14:paraId="010D42A7" w14:textId="77777777" w:rsidR="003E30E6" w:rsidRDefault="00354D61">
            <w:pPr>
              <w:spacing w:line="247" w:lineRule="exact"/>
              <w:ind w:left="153"/>
              <w:textAlignment w:val="baseline"/>
              <w:rPr>
                <w:rFonts w:ascii="Arial Narrow" w:eastAsia="Arial Narrow" w:hAnsi="Arial Narrow"/>
                <w:color w:val="1F497D"/>
                <w:sz w:val="21"/>
              </w:rPr>
            </w:pPr>
            <w:r>
              <w:rPr>
                <w:rFonts w:ascii="Arial Narrow" w:eastAsia="Arial Narrow" w:hAnsi="Arial Narrow"/>
                <w:color w:val="1F497D"/>
                <w:sz w:val="21"/>
              </w:rPr>
              <w:t>2018-2023 Holdrege Property Valuation Growth to $411,991,405</w:t>
            </w:r>
          </w:p>
        </w:tc>
      </w:tr>
      <w:tr w:rsidR="003E30E6" w14:paraId="576AC5AC" w14:textId="77777777">
        <w:tblPrEx>
          <w:tblCellMar>
            <w:top w:w="0" w:type="dxa"/>
            <w:bottom w:w="0" w:type="dxa"/>
          </w:tblCellMar>
        </w:tblPrEx>
        <w:trPr>
          <w:trHeight w:hRule="exact" w:val="259"/>
        </w:trPr>
        <w:tc>
          <w:tcPr>
            <w:tcW w:w="2189" w:type="dxa"/>
            <w:vAlign w:val="center"/>
          </w:tcPr>
          <w:p w14:paraId="6A04BDF4" w14:textId="77777777" w:rsidR="003E30E6" w:rsidRDefault="00354D61">
            <w:pPr>
              <w:spacing w:after="3" w:line="250" w:lineRule="exact"/>
              <w:ind w:left="1895"/>
              <w:textAlignment w:val="baseline"/>
              <w:rPr>
                <w:rFonts w:ascii="Tahoma" w:eastAsia="Tahoma" w:hAnsi="Tahoma"/>
                <w:color w:val="1F497D"/>
              </w:rPr>
            </w:pPr>
            <w:r>
              <w:rPr>
                <w:rFonts w:ascii="Tahoma" w:eastAsia="Tahoma" w:hAnsi="Tahoma"/>
                <w:color w:val="1F497D"/>
              </w:rPr>
              <w:t>•</w:t>
            </w:r>
          </w:p>
        </w:tc>
        <w:tc>
          <w:tcPr>
            <w:tcW w:w="1243" w:type="dxa"/>
            <w:vAlign w:val="center"/>
          </w:tcPr>
          <w:p w14:paraId="52F81CEB" w14:textId="77777777" w:rsidR="003E30E6" w:rsidRDefault="00354D61">
            <w:pPr>
              <w:spacing w:after="2" w:line="252"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$95,602,085</w:t>
            </w:r>
          </w:p>
        </w:tc>
        <w:tc>
          <w:tcPr>
            <w:tcW w:w="7528" w:type="dxa"/>
            <w:vAlign w:val="center"/>
          </w:tcPr>
          <w:p w14:paraId="137A5710" w14:textId="77777777" w:rsidR="003E30E6" w:rsidRDefault="00354D61">
            <w:pPr>
              <w:spacing w:after="2" w:line="252" w:lineRule="exact"/>
              <w:ind w:left="153"/>
              <w:textAlignment w:val="baseline"/>
              <w:rPr>
                <w:rFonts w:ascii="Arial Narrow" w:eastAsia="Arial Narrow" w:hAnsi="Arial Narrow"/>
                <w:color w:val="1F497D"/>
                <w:sz w:val="21"/>
              </w:rPr>
            </w:pPr>
            <w:r>
              <w:rPr>
                <w:rFonts w:ascii="Arial Narrow" w:eastAsia="Arial Narrow" w:hAnsi="Arial Narrow"/>
                <w:color w:val="1F497D"/>
                <w:sz w:val="21"/>
              </w:rPr>
              <w:t>2017-2024 Construction Permits Issued</w:t>
            </w:r>
          </w:p>
        </w:tc>
      </w:tr>
      <w:tr w:rsidR="003E30E6" w14:paraId="0CFE72B9" w14:textId="77777777">
        <w:tblPrEx>
          <w:tblCellMar>
            <w:top w:w="0" w:type="dxa"/>
            <w:bottom w:w="0" w:type="dxa"/>
          </w:tblCellMar>
        </w:tblPrEx>
        <w:trPr>
          <w:trHeight w:hRule="exact" w:val="255"/>
        </w:trPr>
        <w:tc>
          <w:tcPr>
            <w:tcW w:w="2189" w:type="dxa"/>
            <w:vAlign w:val="center"/>
          </w:tcPr>
          <w:p w14:paraId="362E2E8D" w14:textId="77777777" w:rsidR="003E30E6" w:rsidRDefault="00354D61">
            <w:pPr>
              <w:spacing w:after="3" w:line="250" w:lineRule="exact"/>
              <w:ind w:left="1895"/>
              <w:textAlignment w:val="baseline"/>
              <w:rPr>
                <w:rFonts w:ascii="Tahoma" w:eastAsia="Tahoma" w:hAnsi="Tahoma"/>
                <w:color w:val="1F497D"/>
              </w:rPr>
            </w:pPr>
            <w:r>
              <w:rPr>
                <w:rFonts w:ascii="Tahoma" w:eastAsia="Tahoma" w:hAnsi="Tahoma"/>
                <w:color w:val="1F497D"/>
              </w:rPr>
              <w:t>•</w:t>
            </w:r>
          </w:p>
        </w:tc>
        <w:tc>
          <w:tcPr>
            <w:tcW w:w="1243" w:type="dxa"/>
            <w:vAlign w:val="center"/>
          </w:tcPr>
          <w:p w14:paraId="24BCB39C" w14:textId="77777777" w:rsidR="003E30E6" w:rsidRDefault="00354D61">
            <w:pPr>
              <w:spacing w:after="2" w:line="252"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16.9%</w:t>
            </w:r>
          </w:p>
        </w:tc>
        <w:tc>
          <w:tcPr>
            <w:tcW w:w="7528" w:type="dxa"/>
            <w:vAlign w:val="center"/>
          </w:tcPr>
          <w:p w14:paraId="76434016" w14:textId="77777777" w:rsidR="003E30E6" w:rsidRDefault="00354D61">
            <w:pPr>
              <w:spacing w:after="2" w:line="252" w:lineRule="exact"/>
              <w:ind w:left="153"/>
              <w:textAlignment w:val="baseline"/>
              <w:rPr>
                <w:rFonts w:ascii="Arial Narrow" w:eastAsia="Arial Narrow" w:hAnsi="Arial Narrow"/>
                <w:color w:val="1F497D"/>
                <w:sz w:val="21"/>
              </w:rPr>
            </w:pPr>
            <w:r>
              <w:rPr>
                <w:rFonts w:ascii="Arial Narrow" w:eastAsia="Arial Narrow" w:hAnsi="Arial Narrow"/>
                <w:color w:val="1F497D"/>
                <w:sz w:val="21"/>
              </w:rPr>
              <w:t>2017-2023 Increased annual Retail Sales to $81,843,069</w:t>
            </w:r>
          </w:p>
        </w:tc>
      </w:tr>
      <w:tr w:rsidR="003E30E6" w14:paraId="2B7B2844" w14:textId="77777777">
        <w:tblPrEx>
          <w:tblCellMar>
            <w:top w:w="0" w:type="dxa"/>
            <w:bottom w:w="0" w:type="dxa"/>
          </w:tblCellMar>
        </w:tblPrEx>
        <w:trPr>
          <w:trHeight w:hRule="exact" w:val="254"/>
        </w:trPr>
        <w:tc>
          <w:tcPr>
            <w:tcW w:w="2189" w:type="dxa"/>
            <w:vAlign w:val="center"/>
          </w:tcPr>
          <w:p w14:paraId="1883D7E2" w14:textId="77777777" w:rsidR="003E30E6" w:rsidRDefault="00354D61">
            <w:pPr>
              <w:spacing w:line="243" w:lineRule="exact"/>
              <w:ind w:left="1895"/>
              <w:textAlignment w:val="baseline"/>
              <w:rPr>
                <w:rFonts w:ascii="Tahoma" w:eastAsia="Tahoma" w:hAnsi="Tahoma"/>
                <w:color w:val="1F497D"/>
              </w:rPr>
            </w:pPr>
            <w:r>
              <w:rPr>
                <w:rFonts w:ascii="Tahoma" w:eastAsia="Tahoma" w:hAnsi="Tahoma"/>
                <w:color w:val="1F497D"/>
              </w:rPr>
              <w:t>•</w:t>
            </w:r>
          </w:p>
        </w:tc>
        <w:tc>
          <w:tcPr>
            <w:tcW w:w="1243" w:type="dxa"/>
            <w:vAlign w:val="center"/>
          </w:tcPr>
          <w:p w14:paraId="14FDC72E" w14:textId="77777777" w:rsidR="003E30E6" w:rsidRDefault="00354D61">
            <w:pPr>
              <w:spacing w:line="244"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$75,000</w:t>
            </w:r>
          </w:p>
        </w:tc>
        <w:tc>
          <w:tcPr>
            <w:tcW w:w="7528" w:type="dxa"/>
            <w:vAlign w:val="center"/>
          </w:tcPr>
          <w:p w14:paraId="66CEED86" w14:textId="77777777" w:rsidR="003E30E6" w:rsidRDefault="00354D61">
            <w:pPr>
              <w:spacing w:line="242" w:lineRule="exact"/>
              <w:ind w:left="153"/>
              <w:textAlignment w:val="baseline"/>
              <w:rPr>
                <w:rFonts w:ascii="Arial Narrow" w:eastAsia="Arial Narrow" w:hAnsi="Arial Narrow"/>
                <w:color w:val="1F497D"/>
                <w:sz w:val="21"/>
              </w:rPr>
            </w:pPr>
            <w:r>
              <w:rPr>
                <w:rFonts w:ascii="Arial Narrow" w:eastAsia="Arial Narrow" w:hAnsi="Arial Narrow"/>
                <w:color w:val="1F497D"/>
                <w:sz w:val="21"/>
              </w:rPr>
              <w:t>Approximate New Annual Revenue through City Occupation Taxes</w:t>
            </w:r>
          </w:p>
        </w:tc>
      </w:tr>
      <w:tr w:rsidR="003E30E6" w14:paraId="1B7B9989" w14:textId="77777777">
        <w:tblPrEx>
          <w:tblCellMar>
            <w:top w:w="0" w:type="dxa"/>
            <w:bottom w:w="0" w:type="dxa"/>
          </w:tblCellMar>
        </w:tblPrEx>
        <w:trPr>
          <w:trHeight w:hRule="exact" w:val="351"/>
        </w:trPr>
        <w:tc>
          <w:tcPr>
            <w:tcW w:w="2189" w:type="dxa"/>
            <w:vAlign w:val="center"/>
          </w:tcPr>
          <w:p w14:paraId="2EC47279" w14:textId="77777777" w:rsidR="003E30E6" w:rsidRDefault="00354D61">
            <w:pPr>
              <w:spacing w:after="99" w:line="250" w:lineRule="exact"/>
              <w:ind w:left="1895"/>
              <w:textAlignment w:val="baseline"/>
              <w:rPr>
                <w:rFonts w:ascii="Tahoma" w:eastAsia="Tahoma" w:hAnsi="Tahoma"/>
                <w:color w:val="1F497D"/>
              </w:rPr>
            </w:pPr>
            <w:r>
              <w:rPr>
                <w:rFonts w:ascii="Tahoma" w:eastAsia="Tahoma" w:hAnsi="Tahoma"/>
                <w:color w:val="1F497D"/>
              </w:rPr>
              <w:t>•</w:t>
            </w:r>
          </w:p>
        </w:tc>
        <w:tc>
          <w:tcPr>
            <w:tcW w:w="1243" w:type="dxa"/>
            <w:vAlign w:val="center"/>
          </w:tcPr>
          <w:p w14:paraId="41686785" w14:textId="77777777" w:rsidR="003E30E6" w:rsidRDefault="00354D61">
            <w:pPr>
              <w:spacing w:after="98" w:line="252"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5,542</w:t>
            </w:r>
          </w:p>
        </w:tc>
        <w:tc>
          <w:tcPr>
            <w:tcW w:w="7528" w:type="dxa"/>
            <w:vAlign w:val="center"/>
          </w:tcPr>
          <w:p w14:paraId="5D5831CE" w14:textId="77777777" w:rsidR="003E30E6" w:rsidRDefault="00354D61">
            <w:pPr>
              <w:spacing w:after="96" w:line="252" w:lineRule="exact"/>
              <w:ind w:left="153"/>
              <w:textAlignment w:val="baseline"/>
              <w:rPr>
                <w:rFonts w:ascii="Arial Narrow" w:eastAsia="Arial Narrow" w:hAnsi="Arial Narrow"/>
                <w:color w:val="1F497D"/>
                <w:sz w:val="21"/>
              </w:rPr>
            </w:pPr>
            <w:r>
              <w:rPr>
                <w:rFonts w:ascii="Arial Narrow" w:eastAsia="Arial Narrow" w:hAnsi="Arial Narrow"/>
                <w:color w:val="1F497D"/>
                <w:sz w:val="21"/>
              </w:rPr>
              <w:t>Holdrege Population Growth Reverses Downward Trend Since 1980 Census</w:t>
            </w:r>
          </w:p>
        </w:tc>
      </w:tr>
    </w:tbl>
    <w:p w14:paraId="6FBDCD3F" w14:textId="77777777" w:rsidR="003E30E6" w:rsidRDefault="00354D61">
      <w:pPr>
        <w:numPr>
          <w:ilvl w:val="0"/>
          <w:numId w:val="1"/>
        </w:numPr>
        <w:tabs>
          <w:tab w:val="clear" w:pos="360"/>
          <w:tab w:val="left" w:pos="2304"/>
        </w:tabs>
        <w:spacing w:before="21" w:line="252"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Community Outlook Is Optimistic and Ready for Change and Growth</w:t>
      </w:r>
    </w:p>
    <w:p w14:paraId="5F77D7BB" w14:textId="77777777" w:rsidR="003E30E6" w:rsidRDefault="00354D61">
      <w:pPr>
        <w:numPr>
          <w:ilvl w:val="0"/>
          <w:numId w:val="2"/>
        </w:numPr>
        <w:tabs>
          <w:tab w:val="clear" w:pos="432"/>
          <w:tab w:val="left" w:pos="2376"/>
        </w:tabs>
        <w:spacing w:before="7" w:line="252"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Holdrege Enjoys a Higher Profile and Top of Mind Awareness across Nebraska</w:t>
      </w:r>
    </w:p>
    <w:p w14:paraId="139C05DD" w14:textId="77777777" w:rsidR="003E30E6" w:rsidRDefault="00354D61">
      <w:pPr>
        <w:numPr>
          <w:ilvl w:val="0"/>
          <w:numId w:val="2"/>
        </w:numPr>
        <w:tabs>
          <w:tab w:val="clear" w:pos="432"/>
          <w:tab w:val="left" w:pos="2376"/>
        </w:tabs>
        <w:spacing w:before="2" w:line="252"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Business Inquiries, New Investment, and Business Confidence are at a High Level</w:t>
      </w:r>
    </w:p>
    <w:p w14:paraId="6399BC76" w14:textId="77777777" w:rsidR="003E30E6" w:rsidRDefault="00354D61">
      <w:pPr>
        <w:numPr>
          <w:ilvl w:val="0"/>
          <w:numId w:val="2"/>
        </w:numPr>
        <w:tabs>
          <w:tab w:val="clear" w:pos="432"/>
          <w:tab w:val="left" w:pos="2376"/>
        </w:tabs>
        <w:spacing w:before="3" w:line="252"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Multiple large industrial projects in the queue that will have major positive impact on the economy</w:t>
      </w:r>
    </w:p>
    <w:p w14:paraId="1BDFD828" w14:textId="77777777" w:rsidR="003E30E6" w:rsidRDefault="00354D61">
      <w:pPr>
        <w:spacing w:before="242" w:line="274" w:lineRule="exact"/>
        <w:ind w:left="1440"/>
        <w:textAlignment w:val="baseline"/>
        <w:rPr>
          <w:rFonts w:ascii="Arial Narrow" w:eastAsia="Arial Narrow" w:hAnsi="Arial Narrow"/>
          <w:b/>
          <w:color w:val="01B0F0"/>
          <w:sz w:val="24"/>
        </w:rPr>
      </w:pPr>
      <w:r>
        <w:rPr>
          <w:rFonts w:ascii="Arial Narrow" w:eastAsia="Arial Narrow" w:hAnsi="Arial Narrow"/>
          <w:b/>
          <w:color w:val="01B0F0"/>
          <w:sz w:val="24"/>
        </w:rPr>
        <w:t>PCDC’s BUSINESS DEVELOPMENT PROGRAMS</w:t>
      </w:r>
    </w:p>
    <w:p w14:paraId="75742F79" w14:textId="77777777" w:rsidR="003E30E6" w:rsidRDefault="00354D61">
      <w:pPr>
        <w:spacing w:before="124" w:line="237" w:lineRule="exact"/>
        <w:ind w:left="1440"/>
        <w:textAlignment w:val="baseline"/>
        <w:rPr>
          <w:rFonts w:ascii="Arial Narrow" w:eastAsia="Arial Narrow" w:hAnsi="Arial Narrow"/>
          <w:b/>
          <w:color w:val="002060"/>
          <w:sz w:val="21"/>
        </w:rPr>
      </w:pPr>
      <w:r>
        <w:rPr>
          <w:rFonts w:ascii="Arial Narrow" w:eastAsia="Arial Narrow" w:hAnsi="Arial Narrow"/>
          <w:b/>
          <w:color w:val="002060"/>
          <w:sz w:val="21"/>
        </w:rPr>
        <w:t>BUSINESS LOANS / GAP FINANCING</w:t>
      </w:r>
    </w:p>
    <w:p w14:paraId="054E36F6" w14:textId="77777777" w:rsidR="003E30E6" w:rsidRDefault="00354D61">
      <w:pPr>
        <w:numPr>
          <w:ilvl w:val="0"/>
          <w:numId w:val="2"/>
        </w:numPr>
        <w:tabs>
          <w:tab w:val="clear" w:pos="432"/>
          <w:tab w:val="left" w:pos="2376"/>
        </w:tabs>
        <w:spacing w:before="2" w:line="252"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10 Gap Loans Awarded to Business Start-Ups and Expansions</w:t>
      </w:r>
    </w:p>
    <w:p w14:paraId="249F348A" w14:textId="77777777" w:rsidR="003E30E6" w:rsidRDefault="00354D61">
      <w:pPr>
        <w:numPr>
          <w:ilvl w:val="0"/>
          <w:numId w:val="3"/>
        </w:numPr>
        <w:tabs>
          <w:tab w:val="clear" w:pos="360"/>
          <w:tab w:val="left" w:pos="2880"/>
        </w:tabs>
        <w:spacing w:line="242" w:lineRule="exact"/>
        <w:ind w:left="2520"/>
        <w:textAlignment w:val="baseline"/>
        <w:rPr>
          <w:rFonts w:ascii="Arial Narrow" w:eastAsia="Arial Narrow" w:hAnsi="Arial Narrow"/>
          <w:color w:val="1F497D"/>
          <w:sz w:val="21"/>
        </w:rPr>
      </w:pPr>
      <w:r>
        <w:rPr>
          <w:rFonts w:ascii="Arial Narrow" w:eastAsia="Arial Narrow" w:hAnsi="Arial Narrow"/>
          <w:color w:val="1F497D"/>
          <w:sz w:val="21"/>
        </w:rPr>
        <w:t>$830,000 PCDC gap loans funded by LB840</w:t>
      </w:r>
    </w:p>
    <w:p w14:paraId="0AAF5C51" w14:textId="77777777" w:rsidR="003E30E6" w:rsidRDefault="00354D61">
      <w:pPr>
        <w:numPr>
          <w:ilvl w:val="0"/>
          <w:numId w:val="3"/>
        </w:numPr>
        <w:tabs>
          <w:tab w:val="clear" w:pos="360"/>
          <w:tab w:val="left" w:pos="2880"/>
        </w:tabs>
        <w:spacing w:line="238" w:lineRule="exact"/>
        <w:ind w:left="2520"/>
        <w:textAlignment w:val="baseline"/>
        <w:rPr>
          <w:rFonts w:ascii="Arial Narrow" w:eastAsia="Arial Narrow" w:hAnsi="Arial Narrow"/>
          <w:color w:val="1F497D"/>
          <w:sz w:val="21"/>
        </w:rPr>
      </w:pPr>
      <w:r>
        <w:rPr>
          <w:rFonts w:ascii="Arial Narrow" w:eastAsia="Arial Narrow" w:hAnsi="Arial Narrow"/>
          <w:color w:val="1F497D"/>
          <w:sz w:val="21"/>
        </w:rPr>
        <w:t>$6,065,970 Bank loans supported</w:t>
      </w:r>
    </w:p>
    <w:p w14:paraId="04753C29" w14:textId="77777777" w:rsidR="003E30E6" w:rsidRDefault="00354D61">
      <w:pPr>
        <w:numPr>
          <w:ilvl w:val="0"/>
          <w:numId w:val="3"/>
        </w:numPr>
        <w:tabs>
          <w:tab w:val="clear" w:pos="360"/>
          <w:tab w:val="left" w:pos="2880"/>
        </w:tabs>
        <w:spacing w:line="246" w:lineRule="exact"/>
        <w:ind w:left="2520"/>
        <w:textAlignment w:val="baseline"/>
        <w:rPr>
          <w:rFonts w:ascii="Arial Narrow" w:eastAsia="Arial Narrow" w:hAnsi="Arial Narrow"/>
          <w:color w:val="1F497D"/>
          <w:sz w:val="21"/>
        </w:rPr>
      </w:pPr>
      <w:r>
        <w:rPr>
          <w:rFonts w:ascii="Arial Narrow" w:eastAsia="Arial Narrow" w:hAnsi="Arial Narrow"/>
          <w:color w:val="1F497D"/>
          <w:sz w:val="21"/>
        </w:rPr>
        <w:t>$3,374,300 Approximate private equity invested</w:t>
      </w:r>
    </w:p>
    <w:p w14:paraId="2091B53B" w14:textId="77777777" w:rsidR="003E30E6" w:rsidRDefault="00354D61">
      <w:pPr>
        <w:numPr>
          <w:ilvl w:val="0"/>
          <w:numId w:val="3"/>
        </w:numPr>
        <w:tabs>
          <w:tab w:val="clear" w:pos="360"/>
          <w:tab w:val="left" w:pos="2880"/>
        </w:tabs>
        <w:spacing w:before="2" w:line="238" w:lineRule="exact"/>
        <w:ind w:left="2520"/>
        <w:textAlignment w:val="baseline"/>
        <w:rPr>
          <w:rFonts w:ascii="Arial Narrow" w:eastAsia="Arial Narrow" w:hAnsi="Arial Narrow"/>
          <w:b/>
          <w:color w:val="1F497D"/>
          <w:sz w:val="21"/>
          <w:u w:val="single"/>
        </w:rPr>
      </w:pPr>
      <w:r>
        <w:rPr>
          <w:rFonts w:ascii="Arial Narrow" w:eastAsia="Arial Narrow" w:hAnsi="Arial Narrow"/>
          <w:b/>
          <w:color w:val="1F497D"/>
          <w:sz w:val="21"/>
          <w:u w:val="single"/>
        </w:rPr>
        <w:t xml:space="preserve">$10,913,270 Total project investment generated </w:t>
      </w:r>
    </w:p>
    <w:p w14:paraId="10E26517" w14:textId="77777777" w:rsidR="003E30E6" w:rsidRDefault="00354D61">
      <w:pPr>
        <w:numPr>
          <w:ilvl w:val="0"/>
          <w:numId w:val="1"/>
        </w:numPr>
        <w:tabs>
          <w:tab w:val="clear" w:pos="360"/>
          <w:tab w:val="left" w:pos="2304"/>
        </w:tabs>
        <w:spacing w:before="3" w:line="252"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One legacy business ownership transition assisted</w:t>
      </w:r>
    </w:p>
    <w:p w14:paraId="584CCFDD" w14:textId="77777777" w:rsidR="003E30E6" w:rsidRDefault="00354D61">
      <w:pPr>
        <w:numPr>
          <w:ilvl w:val="0"/>
          <w:numId w:val="3"/>
        </w:numPr>
        <w:tabs>
          <w:tab w:val="clear" w:pos="360"/>
          <w:tab w:val="left" w:pos="2880"/>
        </w:tabs>
        <w:spacing w:line="240" w:lineRule="exact"/>
        <w:ind w:left="2520"/>
        <w:textAlignment w:val="baseline"/>
        <w:rPr>
          <w:rFonts w:ascii="Arial Narrow" w:eastAsia="Arial Narrow" w:hAnsi="Arial Narrow"/>
          <w:color w:val="1F497D"/>
          <w:sz w:val="21"/>
        </w:rPr>
      </w:pPr>
      <w:r>
        <w:rPr>
          <w:rFonts w:ascii="Arial Narrow" w:eastAsia="Arial Narrow" w:hAnsi="Arial Narrow"/>
          <w:color w:val="1F497D"/>
          <w:sz w:val="21"/>
        </w:rPr>
        <w:t>$96,000 PCDC gap loan funded by LB840</w:t>
      </w:r>
    </w:p>
    <w:p w14:paraId="15CF2715" w14:textId="77777777" w:rsidR="003E30E6" w:rsidRDefault="00354D61">
      <w:pPr>
        <w:numPr>
          <w:ilvl w:val="0"/>
          <w:numId w:val="3"/>
        </w:numPr>
        <w:tabs>
          <w:tab w:val="clear" w:pos="360"/>
          <w:tab w:val="left" w:pos="2880"/>
        </w:tabs>
        <w:spacing w:line="238" w:lineRule="exact"/>
        <w:ind w:left="2520"/>
        <w:textAlignment w:val="baseline"/>
        <w:rPr>
          <w:rFonts w:ascii="Arial Narrow" w:eastAsia="Arial Narrow" w:hAnsi="Arial Narrow"/>
          <w:color w:val="1F497D"/>
          <w:sz w:val="21"/>
        </w:rPr>
      </w:pPr>
      <w:r>
        <w:rPr>
          <w:rFonts w:ascii="Arial Narrow" w:eastAsia="Arial Narrow" w:hAnsi="Arial Narrow"/>
          <w:color w:val="1F497D"/>
          <w:sz w:val="21"/>
        </w:rPr>
        <w:t>$140,000 Bank loan supported</w:t>
      </w:r>
    </w:p>
    <w:p w14:paraId="471B0348" w14:textId="77777777" w:rsidR="003E30E6" w:rsidRDefault="00354D61">
      <w:pPr>
        <w:numPr>
          <w:ilvl w:val="0"/>
          <w:numId w:val="3"/>
        </w:numPr>
        <w:tabs>
          <w:tab w:val="clear" w:pos="360"/>
          <w:tab w:val="left" w:pos="2880"/>
        </w:tabs>
        <w:spacing w:line="247" w:lineRule="exact"/>
        <w:ind w:left="2520"/>
        <w:textAlignment w:val="baseline"/>
        <w:rPr>
          <w:rFonts w:ascii="Arial Narrow" w:eastAsia="Arial Narrow" w:hAnsi="Arial Narrow"/>
          <w:color w:val="1F497D"/>
          <w:sz w:val="21"/>
        </w:rPr>
      </w:pPr>
      <w:r>
        <w:rPr>
          <w:rFonts w:ascii="Arial Narrow" w:eastAsia="Arial Narrow" w:hAnsi="Arial Narrow"/>
          <w:color w:val="1F497D"/>
          <w:sz w:val="21"/>
        </w:rPr>
        <w:t>$20,000 Private equity invested</w:t>
      </w:r>
    </w:p>
    <w:p w14:paraId="7259B2E6" w14:textId="77777777" w:rsidR="003E30E6" w:rsidRDefault="00354D61">
      <w:pPr>
        <w:numPr>
          <w:ilvl w:val="0"/>
          <w:numId w:val="3"/>
        </w:numPr>
        <w:tabs>
          <w:tab w:val="clear" w:pos="360"/>
          <w:tab w:val="left" w:pos="2880"/>
        </w:tabs>
        <w:spacing w:before="2" w:line="238" w:lineRule="exact"/>
        <w:ind w:left="2520"/>
        <w:textAlignment w:val="baseline"/>
        <w:rPr>
          <w:rFonts w:ascii="Arial Narrow" w:eastAsia="Arial Narrow" w:hAnsi="Arial Narrow"/>
          <w:b/>
          <w:color w:val="1F497D"/>
          <w:sz w:val="21"/>
          <w:u w:val="single"/>
        </w:rPr>
      </w:pPr>
      <w:r>
        <w:rPr>
          <w:rFonts w:ascii="Arial Narrow" w:eastAsia="Arial Narrow" w:hAnsi="Arial Narrow"/>
          <w:b/>
          <w:color w:val="1F497D"/>
          <w:sz w:val="21"/>
          <w:u w:val="single"/>
        </w:rPr>
        <w:t>$256,000 Total project investment / one legacy business saved</w:t>
      </w:r>
      <w:r>
        <w:rPr>
          <w:rFonts w:ascii="Arial Narrow" w:eastAsia="Arial Narrow" w:hAnsi="Arial Narrow"/>
          <w:b/>
          <w:color w:val="002060"/>
          <w:sz w:val="21"/>
          <w:u w:val="single"/>
        </w:rPr>
        <w:t xml:space="preserve"> </w:t>
      </w:r>
    </w:p>
    <w:p w14:paraId="76312846" w14:textId="77777777" w:rsidR="003E30E6" w:rsidRDefault="00354D61">
      <w:pPr>
        <w:spacing w:before="122" w:line="237" w:lineRule="exact"/>
        <w:ind w:left="1440"/>
        <w:textAlignment w:val="baseline"/>
        <w:rPr>
          <w:rFonts w:ascii="Arial Narrow" w:eastAsia="Arial Narrow" w:hAnsi="Arial Narrow"/>
          <w:b/>
          <w:color w:val="002060"/>
          <w:sz w:val="21"/>
        </w:rPr>
      </w:pPr>
      <w:r>
        <w:rPr>
          <w:rFonts w:ascii="Arial Narrow" w:eastAsia="Arial Narrow" w:hAnsi="Arial Narrow"/>
          <w:b/>
          <w:color w:val="002060"/>
          <w:sz w:val="21"/>
        </w:rPr>
        <w:t>GO! BUSINESS</w:t>
      </w:r>
    </w:p>
    <w:p w14:paraId="56E2F60C" w14:textId="77777777" w:rsidR="003E30E6" w:rsidRDefault="00354D61">
      <w:pPr>
        <w:spacing w:before="3" w:line="238" w:lineRule="exact"/>
        <w:ind w:left="1584"/>
        <w:textAlignment w:val="baseline"/>
        <w:rPr>
          <w:rFonts w:ascii="Arial Narrow" w:eastAsia="Arial Narrow" w:hAnsi="Arial Narrow"/>
          <w:color w:val="1F497D"/>
          <w:sz w:val="21"/>
          <w:u w:val="single"/>
        </w:rPr>
      </w:pPr>
      <w:r>
        <w:rPr>
          <w:rFonts w:ascii="Arial Narrow" w:eastAsia="Arial Narrow" w:hAnsi="Arial Narrow"/>
          <w:color w:val="1F497D"/>
          <w:sz w:val="21"/>
          <w:u w:val="single"/>
        </w:rPr>
        <w:t xml:space="preserve">Business &amp; Franchise Development Program </w:t>
      </w:r>
    </w:p>
    <w:p w14:paraId="5C06047F" w14:textId="77777777" w:rsidR="003E30E6" w:rsidRDefault="00354D61">
      <w:pPr>
        <w:numPr>
          <w:ilvl w:val="0"/>
          <w:numId w:val="1"/>
        </w:numPr>
        <w:tabs>
          <w:tab w:val="clear" w:pos="360"/>
          <w:tab w:val="left" w:pos="2304"/>
        </w:tabs>
        <w:spacing w:line="252"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21 New businesses created</w:t>
      </w:r>
    </w:p>
    <w:p w14:paraId="6DE769AE" w14:textId="77777777" w:rsidR="003E30E6" w:rsidRDefault="00354D61">
      <w:pPr>
        <w:numPr>
          <w:ilvl w:val="0"/>
          <w:numId w:val="1"/>
        </w:numPr>
        <w:tabs>
          <w:tab w:val="clear" w:pos="360"/>
          <w:tab w:val="left" w:pos="2304"/>
        </w:tabs>
        <w:spacing w:before="9" w:line="252"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85 Businesses supported with Digital Development &amp; Marketing grants funded by LB840</w:t>
      </w:r>
    </w:p>
    <w:p w14:paraId="61CE277A" w14:textId="77777777" w:rsidR="003E30E6" w:rsidRDefault="00354D61">
      <w:pPr>
        <w:numPr>
          <w:ilvl w:val="0"/>
          <w:numId w:val="3"/>
        </w:numPr>
        <w:tabs>
          <w:tab w:val="clear" w:pos="360"/>
          <w:tab w:val="left" w:pos="2880"/>
        </w:tabs>
        <w:spacing w:line="240" w:lineRule="exact"/>
        <w:ind w:left="2520"/>
        <w:textAlignment w:val="baseline"/>
        <w:rPr>
          <w:rFonts w:ascii="Arial Narrow" w:eastAsia="Arial Narrow" w:hAnsi="Arial Narrow"/>
          <w:color w:val="1F497D"/>
          <w:sz w:val="21"/>
        </w:rPr>
      </w:pPr>
      <w:r>
        <w:rPr>
          <w:rFonts w:ascii="Arial Narrow" w:eastAsia="Arial Narrow" w:hAnsi="Arial Narrow"/>
          <w:color w:val="1F497D"/>
          <w:sz w:val="21"/>
        </w:rPr>
        <w:t>$164,148 PCDC investment in both programs by LB840</w:t>
      </w:r>
    </w:p>
    <w:p w14:paraId="3CCD697C" w14:textId="77777777" w:rsidR="003E30E6" w:rsidRDefault="00354D61">
      <w:pPr>
        <w:numPr>
          <w:ilvl w:val="0"/>
          <w:numId w:val="3"/>
        </w:numPr>
        <w:tabs>
          <w:tab w:val="clear" w:pos="360"/>
          <w:tab w:val="left" w:pos="2880"/>
        </w:tabs>
        <w:spacing w:before="2" w:after="315" w:line="235" w:lineRule="exact"/>
        <w:ind w:left="2520"/>
        <w:textAlignment w:val="baseline"/>
        <w:rPr>
          <w:rFonts w:ascii="Arial Narrow" w:eastAsia="Arial Narrow" w:hAnsi="Arial Narrow"/>
          <w:b/>
          <w:color w:val="1F497D"/>
          <w:sz w:val="21"/>
          <w:u w:val="single"/>
        </w:rPr>
      </w:pPr>
      <w:r>
        <w:rPr>
          <w:rFonts w:ascii="Arial Narrow" w:eastAsia="Arial Narrow" w:hAnsi="Arial Narrow"/>
          <w:b/>
          <w:color w:val="1F497D"/>
          <w:sz w:val="21"/>
          <w:u w:val="single"/>
        </w:rPr>
        <w:t>$5,271,500 Private investment generated</w:t>
      </w:r>
      <w:r>
        <w:rPr>
          <w:rFonts w:ascii="Arial Narrow" w:eastAsia="Arial Narrow" w:hAnsi="Arial Narrow"/>
          <w:b/>
          <w:color w:val="2771B2"/>
          <w:sz w:val="21"/>
          <w:u w:val="single"/>
        </w:rPr>
        <w:t xml:space="preserve"> </w:t>
      </w:r>
    </w:p>
    <w:p w14:paraId="2F547EAF" w14:textId="70454DE8" w:rsidR="003E30E6" w:rsidRDefault="003E30E6" w:rsidP="00354D61">
      <w:pPr>
        <w:spacing w:before="34" w:line="509" w:lineRule="exact"/>
        <w:textAlignment w:val="baseline"/>
        <w:rPr>
          <w:rFonts w:ascii="Calibri" w:eastAsia="Calibri" w:hAnsi="Calibri"/>
          <w:i/>
          <w:color w:val="2771B2"/>
          <w:spacing w:val="-18"/>
          <w:w w:val="110"/>
          <w:sz w:val="48"/>
        </w:rPr>
      </w:pPr>
    </w:p>
    <w:p w14:paraId="578CC1BC" w14:textId="77777777" w:rsidR="003E30E6" w:rsidRDefault="003E30E6">
      <w:pPr>
        <w:sectPr w:rsidR="003E30E6">
          <w:pgSz w:w="12240" w:h="15840"/>
          <w:pgMar w:top="3154" w:right="819" w:bottom="170" w:left="461" w:header="720" w:footer="720" w:gutter="0"/>
          <w:cols w:space="720"/>
        </w:sectPr>
      </w:pPr>
    </w:p>
    <w:p w14:paraId="4DF1320C" w14:textId="77777777" w:rsidR="003E30E6" w:rsidRDefault="00354D61">
      <w:pPr>
        <w:spacing w:before="5" w:after="342"/>
        <w:ind w:right="6447"/>
        <w:textAlignment w:val="baseline"/>
      </w:pPr>
      <w:r>
        <w:rPr>
          <w:noProof/>
        </w:rPr>
        <w:lastRenderedPageBreak/>
        <w:drawing>
          <wp:inline distT="0" distB="0" distL="0" distR="0" wp14:anchorId="6E556153" wp14:editId="5C839394">
            <wp:extent cx="2319655" cy="85026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2319655" cy="850265"/>
                    </a:xfrm>
                    <a:prstGeom prst="rect">
                      <a:avLst/>
                    </a:prstGeom>
                  </pic:spPr>
                </pic:pic>
              </a:graphicData>
            </a:graphic>
          </wp:inline>
        </w:drawing>
      </w:r>
    </w:p>
    <w:p w14:paraId="3919CDA7" w14:textId="77777777" w:rsidR="003E30E6" w:rsidRDefault="00354D61">
      <w:pPr>
        <w:spacing w:before="6" w:line="237" w:lineRule="exact"/>
        <w:ind w:left="1368"/>
        <w:textAlignment w:val="baseline"/>
        <w:rPr>
          <w:rFonts w:ascii="Arial Narrow" w:eastAsia="Arial Narrow" w:hAnsi="Arial Narrow"/>
          <w:b/>
          <w:color w:val="002060"/>
          <w:sz w:val="21"/>
        </w:rPr>
      </w:pPr>
      <w:r>
        <w:rPr>
          <w:rFonts w:ascii="Arial Narrow" w:eastAsia="Arial Narrow" w:hAnsi="Arial Narrow"/>
          <w:b/>
          <w:color w:val="002060"/>
          <w:sz w:val="21"/>
        </w:rPr>
        <w:t>GO! WORK</w:t>
      </w:r>
    </w:p>
    <w:p w14:paraId="2DF34A99" w14:textId="77777777" w:rsidR="003E30E6" w:rsidRDefault="00354D61">
      <w:pPr>
        <w:spacing w:before="7" w:line="238" w:lineRule="exact"/>
        <w:ind w:left="1584"/>
        <w:textAlignment w:val="baseline"/>
        <w:rPr>
          <w:rFonts w:ascii="Arial Narrow" w:eastAsia="Arial Narrow" w:hAnsi="Arial Narrow"/>
          <w:color w:val="1F497D"/>
          <w:sz w:val="21"/>
          <w:u w:val="single"/>
        </w:rPr>
      </w:pPr>
      <w:r>
        <w:rPr>
          <w:rFonts w:ascii="Arial Narrow" w:eastAsia="Arial Narrow" w:hAnsi="Arial Narrow"/>
          <w:color w:val="1F497D"/>
          <w:sz w:val="21"/>
          <w:u w:val="single"/>
        </w:rPr>
        <w:t xml:space="preserve">High Demand Job Scholarships </w:t>
      </w:r>
    </w:p>
    <w:p w14:paraId="69819BA2" w14:textId="77777777" w:rsidR="003E30E6" w:rsidRDefault="00354D61">
      <w:pPr>
        <w:numPr>
          <w:ilvl w:val="0"/>
          <w:numId w:val="1"/>
        </w:numPr>
        <w:tabs>
          <w:tab w:val="clear" w:pos="360"/>
          <w:tab w:val="left" w:pos="2304"/>
        </w:tabs>
        <w:spacing w:line="250"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109 Scholarships awarded</w:t>
      </w:r>
    </w:p>
    <w:p w14:paraId="2C3C7DB4" w14:textId="77777777" w:rsidR="003E30E6" w:rsidRDefault="00354D61">
      <w:pPr>
        <w:numPr>
          <w:ilvl w:val="0"/>
          <w:numId w:val="4"/>
        </w:numPr>
        <w:tabs>
          <w:tab w:val="clear" w:pos="288"/>
          <w:tab w:val="left" w:pos="3024"/>
        </w:tabs>
        <w:spacing w:before="7" w:line="238" w:lineRule="exact"/>
        <w:ind w:left="2736"/>
        <w:textAlignment w:val="baseline"/>
        <w:rPr>
          <w:rFonts w:ascii="Arial Narrow" w:eastAsia="Arial Narrow" w:hAnsi="Arial Narrow"/>
          <w:b/>
          <w:color w:val="1F497D"/>
          <w:sz w:val="21"/>
          <w:u w:val="single"/>
        </w:rPr>
      </w:pPr>
      <w:r>
        <w:rPr>
          <w:rFonts w:ascii="Arial Narrow" w:eastAsia="Arial Narrow" w:hAnsi="Arial Narrow"/>
          <w:b/>
          <w:color w:val="1F497D"/>
          <w:sz w:val="21"/>
          <w:u w:val="single"/>
        </w:rPr>
        <w:t>$303,500 PCDC investment in scholarships funded by LB840</w:t>
      </w:r>
    </w:p>
    <w:p w14:paraId="27AF32CA" w14:textId="77777777" w:rsidR="003E30E6" w:rsidRDefault="00354D61">
      <w:pPr>
        <w:spacing w:before="122" w:line="239" w:lineRule="exact"/>
        <w:ind w:left="1584"/>
        <w:textAlignment w:val="baseline"/>
        <w:rPr>
          <w:rFonts w:ascii="Arial Narrow" w:eastAsia="Arial Narrow" w:hAnsi="Arial Narrow"/>
          <w:color w:val="1F497D"/>
          <w:sz w:val="21"/>
          <w:u w:val="single"/>
        </w:rPr>
      </w:pPr>
      <w:r>
        <w:rPr>
          <w:rFonts w:ascii="Arial Narrow" w:eastAsia="Arial Narrow" w:hAnsi="Arial Narrow"/>
          <w:color w:val="1F497D"/>
          <w:sz w:val="21"/>
          <w:u w:val="single"/>
        </w:rPr>
        <w:t xml:space="preserve">Dual Credit Job &amp; Skills Training </w:t>
      </w:r>
    </w:p>
    <w:p w14:paraId="073C4567" w14:textId="77777777" w:rsidR="003E30E6" w:rsidRDefault="00354D61">
      <w:pPr>
        <w:numPr>
          <w:ilvl w:val="0"/>
          <w:numId w:val="1"/>
        </w:numPr>
        <w:tabs>
          <w:tab w:val="clear" w:pos="360"/>
          <w:tab w:val="left" w:pos="2304"/>
        </w:tabs>
        <w:spacing w:before="3" w:line="255"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60 Janssen/CCC Auto Tech Training Program tuition recipients</w:t>
      </w:r>
    </w:p>
    <w:p w14:paraId="2E3F47FA" w14:textId="77777777" w:rsidR="003E30E6" w:rsidRDefault="00354D61">
      <w:pPr>
        <w:numPr>
          <w:ilvl w:val="0"/>
          <w:numId w:val="4"/>
        </w:numPr>
        <w:tabs>
          <w:tab w:val="clear" w:pos="288"/>
          <w:tab w:val="left" w:pos="3024"/>
        </w:tabs>
        <w:spacing w:before="2" w:line="233" w:lineRule="exact"/>
        <w:ind w:left="2736"/>
        <w:textAlignment w:val="baseline"/>
        <w:rPr>
          <w:rFonts w:ascii="Arial Narrow" w:eastAsia="Arial Narrow" w:hAnsi="Arial Narrow"/>
          <w:color w:val="1F497D"/>
          <w:sz w:val="21"/>
        </w:rPr>
      </w:pPr>
      <w:r>
        <w:rPr>
          <w:rFonts w:ascii="Arial Narrow" w:eastAsia="Arial Narrow" w:hAnsi="Arial Narrow"/>
          <w:color w:val="1F497D"/>
          <w:sz w:val="21"/>
        </w:rPr>
        <w:t>$4,200 PCDC investment in tuition and fees</w:t>
      </w:r>
    </w:p>
    <w:p w14:paraId="4CB90734" w14:textId="77777777" w:rsidR="003E30E6" w:rsidRDefault="00354D61">
      <w:pPr>
        <w:numPr>
          <w:ilvl w:val="0"/>
          <w:numId w:val="1"/>
        </w:numPr>
        <w:tabs>
          <w:tab w:val="clear" w:pos="360"/>
          <w:tab w:val="left" w:pos="2304"/>
        </w:tabs>
        <w:spacing w:before="4" w:line="255"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16 PMHC/CCC Nurse Training Program tuition recipients</w:t>
      </w:r>
    </w:p>
    <w:p w14:paraId="7156375F" w14:textId="77777777" w:rsidR="003E30E6" w:rsidRDefault="00354D61">
      <w:pPr>
        <w:numPr>
          <w:ilvl w:val="0"/>
          <w:numId w:val="4"/>
        </w:numPr>
        <w:tabs>
          <w:tab w:val="clear" w:pos="288"/>
          <w:tab w:val="left" w:pos="3024"/>
        </w:tabs>
        <w:spacing w:before="2" w:line="238" w:lineRule="exact"/>
        <w:ind w:left="2736"/>
        <w:textAlignment w:val="baseline"/>
        <w:rPr>
          <w:rFonts w:ascii="Arial Narrow" w:eastAsia="Arial Narrow" w:hAnsi="Arial Narrow"/>
          <w:color w:val="1F497D"/>
          <w:sz w:val="21"/>
        </w:rPr>
      </w:pPr>
      <w:r>
        <w:rPr>
          <w:rFonts w:ascii="Arial Narrow" w:eastAsia="Arial Narrow" w:hAnsi="Arial Narrow"/>
          <w:color w:val="1F497D"/>
          <w:sz w:val="21"/>
        </w:rPr>
        <w:t>$840 PCDC investment in tuition and fees funded by LB840</w:t>
      </w:r>
    </w:p>
    <w:p w14:paraId="13971D6B" w14:textId="77777777" w:rsidR="003E30E6" w:rsidRDefault="00354D61">
      <w:pPr>
        <w:spacing w:before="137" w:line="237" w:lineRule="exact"/>
        <w:ind w:left="1368"/>
        <w:textAlignment w:val="baseline"/>
        <w:rPr>
          <w:rFonts w:ascii="Arial Narrow" w:eastAsia="Arial Narrow" w:hAnsi="Arial Narrow"/>
          <w:b/>
          <w:color w:val="002060"/>
          <w:spacing w:val="-1"/>
          <w:sz w:val="21"/>
        </w:rPr>
      </w:pPr>
      <w:r>
        <w:rPr>
          <w:rFonts w:ascii="Arial Narrow" w:eastAsia="Arial Narrow" w:hAnsi="Arial Narrow"/>
          <w:b/>
          <w:color w:val="002060"/>
          <w:spacing w:val="-1"/>
          <w:sz w:val="21"/>
        </w:rPr>
        <w:t>GO! DREAM</w:t>
      </w:r>
    </w:p>
    <w:p w14:paraId="2750468C" w14:textId="77777777" w:rsidR="003E30E6" w:rsidRDefault="00354D61">
      <w:pPr>
        <w:numPr>
          <w:ilvl w:val="0"/>
          <w:numId w:val="1"/>
        </w:numPr>
        <w:tabs>
          <w:tab w:val="clear" w:pos="360"/>
          <w:tab w:val="left" w:pos="2304"/>
        </w:tabs>
        <w:spacing w:line="255"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66 Downtown building facades and business signs improved</w:t>
      </w:r>
    </w:p>
    <w:p w14:paraId="4DAF36EF" w14:textId="77777777" w:rsidR="003E30E6" w:rsidRDefault="00354D61">
      <w:pPr>
        <w:numPr>
          <w:ilvl w:val="0"/>
          <w:numId w:val="3"/>
        </w:numPr>
        <w:tabs>
          <w:tab w:val="clear" w:pos="360"/>
          <w:tab w:val="left" w:pos="2880"/>
        </w:tabs>
        <w:spacing w:before="2" w:line="238" w:lineRule="exact"/>
        <w:ind w:left="2520"/>
        <w:textAlignment w:val="baseline"/>
        <w:rPr>
          <w:rFonts w:ascii="Arial Narrow" w:eastAsia="Arial Narrow" w:hAnsi="Arial Narrow"/>
          <w:color w:val="1F497D"/>
          <w:sz w:val="21"/>
        </w:rPr>
      </w:pPr>
      <w:r>
        <w:rPr>
          <w:rFonts w:ascii="Arial Narrow" w:eastAsia="Arial Narrow" w:hAnsi="Arial Narrow"/>
          <w:color w:val="1F497D"/>
          <w:sz w:val="21"/>
        </w:rPr>
        <w:t>$525,050 PCDC investment funded by LB840</w:t>
      </w:r>
    </w:p>
    <w:p w14:paraId="55DB5301" w14:textId="77777777" w:rsidR="003E30E6" w:rsidRDefault="00354D61">
      <w:pPr>
        <w:numPr>
          <w:ilvl w:val="0"/>
          <w:numId w:val="3"/>
        </w:numPr>
        <w:tabs>
          <w:tab w:val="clear" w:pos="360"/>
          <w:tab w:val="left" w:pos="2880"/>
        </w:tabs>
        <w:spacing w:before="7" w:line="236" w:lineRule="exact"/>
        <w:ind w:left="2520"/>
        <w:textAlignment w:val="baseline"/>
        <w:rPr>
          <w:rFonts w:ascii="Arial Narrow" w:eastAsia="Arial Narrow" w:hAnsi="Arial Narrow"/>
          <w:b/>
          <w:color w:val="1F497D"/>
          <w:sz w:val="21"/>
          <w:u w:val="single"/>
        </w:rPr>
      </w:pPr>
      <w:r>
        <w:rPr>
          <w:rFonts w:ascii="Arial Narrow" w:eastAsia="Arial Narrow" w:hAnsi="Arial Narrow"/>
          <w:b/>
          <w:color w:val="1F497D"/>
          <w:sz w:val="21"/>
          <w:u w:val="single"/>
        </w:rPr>
        <w:t>$3,764,875 Private investment generated</w:t>
      </w:r>
      <w:r>
        <w:rPr>
          <w:rFonts w:ascii="Arial Narrow" w:eastAsia="Arial Narrow" w:hAnsi="Arial Narrow"/>
          <w:b/>
          <w:color w:val="01B0F0"/>
          <w:sz w:val="21"/>
          <w:u w:val="single"/>
        </w:rPr>
        <w:t xml:space="preserve"> </w:t>
      </w:r>
    </w:p>
    <w:p w14:paraId="5A0C2195" w14:textId="77777777" w:rsidR="003E30E6" w:rsidRDefault="00354D61">
      <w:pPr>
        <w:spacing w:before="364" w:line="274" w:lineRule="exact"/>
        <w:ind w:left="1368"/>
        <w:textAlignment w:val="baseline"/>
        <w:rPr>
          <w:rFonts w:ascii="Arial Narrow" w:eastAsia="Arial Narrow" w:hAnsi="Arial Narrow"/>
          <w:b/>
          <w:color w:val="01B0F0"/>
          <w:sz w:val="24"/>
        </w:rPr>
      </w:pPr>
      <w:r>
        <w:rPr>
          <w:rFonts w:ascii="Arial Narrow" w:eastAsia="Arial Narrow" w:hAnsi="Arial Narrow"/>
          <w:b/>
          <w:color w:val="01B0F0"/>
          <w:sz w:val="24"/>
        </w:rPr>
        <w:t>COMMUNITY DEVELOPMENT PROGRAMS</w:t>
      </w:r>
    </w:p>
    <w:p w14:paraId="1E713144" w14:textId="77777777" w:rsidR="003E30E6" w:rsidRDefault="00354D61">
      <w:pPr>
        <w:spacing w:before="120" w:line="237" w:lineRule="exact"/>
        <w:ind w:left="1368"/>
        <w:textAlignment w:val="baseline"/>
        <w:rPr>
          <w:rFonts w:ascii="Arial Narrow" w:eastAsia="Arial Narrow" w:hAnsi="Arial Narrow"/>
          <w:b/>
          <w:color w:val="002060"/>
          <w:spacing w:val="-2"/>
          <w:sz w:val="21"/>
        </w:rPr>
      </w:pPr>
      <w:r>
        <w:rPr>
          <w:rFonts w:ascii="Arial Narrow" w:eastAsia="Arial Narrow" w:hAnsi="Arial Narrow"/>
          <w:b/>
          <w:color w:val="002060"/>
          <w:spacing w:val="-2"/>
          <w:sz w:val="21"/>
        </w:rPr>
        <w:t>GO! HOME:</w:t>
      </w:r>
    </w:p>
    <w:p w14:paraId="777BB2E6" w14:textId="77777777" w:rsidR="003E30E6" w:rsidRDefault="00354D61">
      <w:pPr>
        <w:spacing w:before="7" w:line="238" w:lineRule="exact"/>
        <w:jc w:val="center"/>
        <w:textAlignment w:val="baseline"/>
        <w:rPr>
          <w:rFonts w:ascii="Arial Narrow" w:eastAsia="Arial Narrow" w:hAnsi="Arial Narrow"/>
          <w:color w:val="1F497D"/>
          <w:sz w:val="21"/>
          <w:u w:val="single"/>
        </w:rPr>
      </w:pPr>
      <w:r>
        <w:rPr>
          <w:rFonts w:ascii="Arial Narrow" w:eastAsia="Arial Narrow" w:hAnsi="Arial Narrow"/>
          <w:color w:val="1F497D"/>
          <w:sz w:val="21"/>
          <w:u w:val="single"/>
        </w:rPr>
        <w:t>Down payment assistance</w:t>
      </w:r>
      <w:r>
        <w:rPr>
          <w:rFonts w:ascii="Arial Narrow" w:eastAsia="Arial Narrow" w:hAnsi="Arial Narrow"/>
          <w:color w:val="1F497D"/>
          <w:sz w:val="21"/>
        </w:rPr>
        <w:t xml:space="preserve"> to encourage residency in Phelps County instead of commuting</w:t>
      </w:r>
    </w:p>
    <w:p w14:paraId="5F8B2068" w14:textId="77777777" w:rsidR="003E30E6" w:rsidRDefault="00354D61">
      <w:pPr>
        <w:numPr>
          <w:ilvl w:val="0"/>
          <w:numId w:val="1"/>
        </w:numPr>
        <w:tabs>
          <w:tab w:val="clear" w:pos="360"/>
          <w:tab w:val="left" w:pos="2304"/>
        </w:tabs>
        <w:spacing w:line="253" w:lineRule="exact"/>
        <w:ind w:left="1944"/>
        <w:textAlignment w:val="baseline"/>
        <w:rPr>
          <w:rFonts w:ascii="Arial Narrow" w:eastAsia="Arial Narrow" w:hAnsi="Arial Narrow"/>
          <w:b/>
          <w:color w:val="1F497D"/>
          <w:sz w:val="21"/>
          <w:u w:val="single"/>
        </w:rPr>
      </w:pPr>
      <w:r>
        <w:rPr>
          <w:rFonts w:ascii="Arial Narrow" w:eastAsia="Arial Narrow" w:hAnsi="Arial Narrow"/>
          <w:b/>
          <w:color w:val="1F497D"/>
          <w:sz w:val="21"/>
          <w:u w:val="single"/>
        </w:rPr>
        <w:t xml:space="preserve">295 New Residents </w:t>
      </w:r>
    </w:p>
    <w:p w14:paraId="7767238C" w14:textId="77777777" w:rsidR="003E30E6" w:rsidRDefault="00354D61">
      <w:pPr>
        <w:numPr>
          <w:ilvl w:val="0"/>
          <w:numId w:val="4"/>
        </w:numPr>
        <w:tabs>
          <w:tab w:val="clear" w:pos="288"/>
          <w:tab w:val="left" w:pos="3024"/>
        </w:tabs>
        <w:spacing w:before="4" w:line="238" w:lineRule="exact"/>
        <w:ind w:left="2736"/>
        <w:textAlignment w:val="baseline"/>
        <w:rPr>
          <w:rFonts w:ascii="Arial Narrow" w:eastAsia="Arial Narrow" w:hAnsi="Arial Narrow"/>
          <w:color w:val="1F497D"/>
          <w:sz w:val="21"/>
        </w:rPr>
      </w:pPr>
      <w:r>
        <w:rPr>
          <w:rFonts w:ascii="Arial Narrow" w:eastAsia="Arial Narrow" w:hAnsi="Arial Narrow"/>
          <w:color w:val="1F497D"/>
          <w:sz w:val="21"/>
        </w:rPr>
        <w:t>$317,500 Invested by PCDC with LB840</w:t>
      </w:r>
    </w:p>
    <w:p w14:paraId="4ACBB608" w14:textId="77777777" w:rsidR="003E30E6" w:rsidRDefault="00354D61">
      <w:pPr>
        <w:numPr>
          <w:ilvl w:val="0"/>
          <w:numId w:val="4"/>
        </w:numPr>
        <w:tabs>
          <w:tab w:val="clear" w:pos="288"/>
          <w:tab w:val="left" w:pos="3024"/>
        </w:tabs>
        <w:spacing w:before="2" w:line="238" w:lineRule="exact"/>
        <w:ind w:left="2736"/>
        <w:textAlignment w:val="baseline"/>
        <w:rPr>
          <w:rFonts w:ascii="Arial Narrow" w:eastAsia="Arial Narrow" w:hAnsi="Arial Narrow"/>
          <w:color w:val="1F497D"/>
          <w:sz w:val="21"/>
        </w:rPr>
      </w:pPr>
      <w:r>
        <w:rPr>
          <w:rFonts w:ascii="Arial Narrow" w:eastAsia="Arial Narrow" w:hAnsi="Arial Narrow"/>
          <w:color w:val="1F497D"/>
          <w:sz w:val="21"/>
        </w:rPr>
        <w:t>$255,000 invested by employers</w:t>
      </w:r>
    </w:p>
    <w:p w14:paraId="04133AA2" w14:textId="77777777" w:rsidR="003E30E6" w:rsidRDefault="00354D61">
      <w:pPr>
        <w:numPr>
          <w:ilvl w:val="0"/>
          <w:numId w:val="4"/>
        </w:numPr>
        <w:tabs>
          <w:tab w:val="clear" w:pos="288"/>
          <w:tab w:val="left" w:pos="3024"/>
        </w:tabs>
        <w:spacing w:before="2" w:line="238" w:lineRule="exact"/>
        <w:ind w:left="2736"/>
        <w:textAlignment w:val="baseline"/>
        <w:rPr>
          <w:rFonts w:ascii="Arial Narrow" w:eastAsia="Arial Narrow" w:hAnsi="Arial Narrow"/>
          <w:b/>
          <w:color w:val="1F497D"/>
          <w:sz w:val="21"/>
          <w:u w:val="single"/>
        </w:rPr>
      </w:pPr>
      <w:r>
        <w:rPr>
          <w:rFonts w:ascii="Arial Narrow" w:eastAsia="Arial Narrow" w:hAnsi="Arial Narrow"/>
          <w:b/>
          <w:color w:val="1F497D"/>
          <w:sz w:val="21"/>
          <w:u w:val="single"/>
        </w:rPr>
        <w:t xml:space="preserve">$20,802,673 Real estate sales generated </w:t>
      </w:r>
    </w:p>
    <w:p w14:paraId="70BD17A4" w14:textId="77777777" w:rsidR="003E30E6" w:rsidRDefault="00354D61">
      <w:pPr>
        <w:spacing w:before="136" w:line="238" w:lineRule="exact"/>
        <w:jc w:val="center"/>
        <w:textAlignment w:val="baseline"/>
        <w:rPr>
          <w:rFonts w:ascii="Arial Narrow" w:eastAsia="Arial Narrow" w:hAnsi="Arial Narrow"/>
          <w:color w:val="1F497D"/>
          <w:sz w:val="21"/>
          <w:u w:val="single"/>
        </w:rPr>
      </w:pPr>
      <w:proofErr w:type="gramStart"/>
      <w:r>
        <w:rPr>
          <w:rFonts w:ascii="Arial Narrow" w:eastAsia="Arial Narrow" w:hAnsi="Arial Narrow"/>
          <w:color w:val="1F497D"/>
          <w:sz w:val="21"/>
          <w:u w:val="single"/>
        </w:rPr>
        <w:t>Renter</w:t>
      </w:r>
      <w:proofErr w:type="gramEnd"/>
      <w:r>
        <w:rPr>
          <w:rFonts w:ascii="Arial Narrow" w:eastAsia="Arial Narrow" w:hAnsi="Arial Narrow"/>
          <w:color w:val="1F497D"/>
          <w:sz w:val="21"/>
          <w:u w:val="single"/>
        </w:rPr>
        <w:t xml:space="preserve"> relocation assistance</w:t>
      </w:r>
      <w:r>
        <w:rPr>
          <w:rFonts w:ascii="Arial Narrow" w:eastAsia="Arial Narrow" w:hAnsi="Arial Narrow"/>
          <w:color w:val="1F497D"/>
          <w:sz w:val="21"/>
        </w:rPr>
        <w:t xml:space="preserve"> to encourage residency in Phelps County instead of commuting</w:t>
      </w:r>
    </w:p>
    <w:p w14:paraId="2140D0A9" w14:textId="77777777" w:rsidR="003E30E6" w:rsidRDefault="00354D61">
      <w:pPr>
        <w:numPr>
          <w:ilvl w:val="0"/>
          <w:numId w:val="1"/>
        </w:numPr>
        <w:tabs>
          <w:tab w:val="clear" w:pos="360"/>
          <w:tab w:val="left" w:pos="2304"/>
        </w:tabs>
        <w:spacing w:line="253" w:lineRule="exact"/>
        <w:ind w:left="1944"/>
        <w:textAlignment w:val="baseline"/>
        <w:rPr>
          <w:rFonts w:ascii="Arial Narrow" w:eastAsia="Arial Narrow" w:hAnsi="Arial Narrow"/>
          <w:b/>
          <w:color w:val="1F497D"/>
          <w:sz w:val="21"/>
          <w:u w:val="single"/>
        </w:rPr>
      </w:pPr>
      <w:r>
        <w:rPr>
          <w:rFonts w:ascii="Arial Narrow" w:eastAsia="Arial Narrow" w:hAnsi="Arial Narrow"/>
          <w:b/>
          <w:color w:val="1F497D"/>
          <w:sz w:val="21"/>
          <w:u w:val="single"/>
        </w:rPr>
        <w:t xml:space="preserve">102 New Residents </w:t>
      </w:r>
    </w:p>
    <w:p w14:paraId="4E91B464" w14:textId="77777777" w:rsidR="003E30E6" w:rsidRDefault="00354D61">
      <w:pPr>
        <w:numPr>
          <w:ilvl w:val="0"/>
          <w:numId w:val="4"/>
        </w:numPr>
        <w:tabs>
          <w:tab w:val="clear" w:pos="288"/>
          <w:tab w:val="left" w:pos="3024"/>
        </w:tabs>
        <w:spacing w:before="8" w:line="238" w:lineRule="exact"/>
        <w:ind w:left="2736"/>
        <w:textAlignment w:val="baseline"/>
        <w:rPr>
          <w:rFonts w:ascii="Arial Narrow" w:eastAsia="Arial Narrow" w:hAnsi="Arial Narrow"/>
          <w:color w:val="1F497D"/>
          <w:sz w:val="21"/>
        </w:rPr>
      </w:pPr>
      <w:r>
        <w:rPr>
          <w:rFonts w:ascii="Arial Narrow" w:eastAsia="Arial Narrow" w:hAnsi="Arial Narrow"/>
          <w:color w:val="1F497D"/>
          <w:sz w:val="21"/>
        </w:rPr>
        <w:t>$36,000 Invested by PCDC with LB840</w:t>
      </w:r>
    </w:p>
    <w:p w14:paraId="46C247BB" w14:textId="77777777" w:rsidR="003E30E6" w:rsidRDefault="00354D61">
      <w:pPr>
        <w:spacing w:before="132" w:line="239" w:lineRule="exact"/>
        <w:jc w:val="center"/>
        <w:textAlignment w:val="baseline"/>
        <w:rPr>
          <w:rFonts w:ascii="Arial Narrow" w:eastAsia="Arial Narrow" w:hAnsi="Arial Narrow"/>
          <w:color w:val="1F497D"/>
          <w:sz w:val="21"/>
          <w:u w:val="single"/>
        </w:rPr>
      </w:pPr>
      <w:r>
        <w:rPr>
          <w:rFonts w:ascii="Arial Narrow" w:eastAsia="Arial Narrow" w:hAnsi="Arial Narrow"/>
          <w:color w:val="1F497D"/>
          <w:sz w:val="21"/>
          <w:u w:val="single"/>
        </w:rPr>
        <w:t>Code compliance</w:t>
      </w:r>
      <w:r>
        <w:rPr>
          <w:rFonts w:ascii="Arial Narrow" w:eastAsia="Arial Narrow" w:hAnsi="Arial Narrow"/>
          <w:color w:val="1F497D"/>
          <w:sz w:val="21"/>
        </w:rPr>
        <w:t xml:space="preserve"> assistance to improve infrastructure and support creation of upper-level downtown living units</w:t>
      </w:r>
    </w:p>
    <w:p w14:paraId="26469DE3" w14:textId="77777777" w:rsidR="003E30E6" w:rsidRDefault="00354D61">
      <w:pPr>
        <w:numPr>
          <w:ilvl w:val="0"/>
          <w:numId w:val="1"/>
        </w:numPr>
        <w:tabs>
          <w:tab w:val="clear" w:pos="360"/>
          <w:tab w:val="left" w:pos="2304"/>
        </w:tabs>
        <w:spacing w:before="3" w:line="255" w:lineRule="exact"/>
        <w:ind w:left="1944"/>
        <w:textAlignment w:val="baseline"/>
        <w:rPr>
          <w:rFonts w:ascii="Arial Narrow" w:eastAsia="Arial Narrow" w:hAnsi="Arial Narrow"/>
          <w:b/>
          <w:color w:val="1F497D"/>
          <w:sz w:val="21"/>
          <w:u w:val="single"/>
        </w:rPr>
      </w:pPr>
      <w:r>
        <w:rPr>
          <w:rFonts w:ascii="Arial Narrow" w:eastAsia="Arial Narrow" w:hAnsi="Arial Narrow"/>
          <w:b/>
          <w:color w:val="1F497D"/>
          <w:sz w:val="21"/>
          <w:u w:val="single"/>
        </w:rPr>
        <w:t xml:space="preserve">23 New downtown living units created ($43,962 per unit) </w:t>
      </w:r>
    </w:p>
    <w:p w14:paraId="7E23D5D8" w14:textId="77777777" w:rsidR="003E30E6" w:rsidRDefault="00354D61">
      <w:pPr>
        <w:numPr>
          <w:ilvl w:val="0"/>
          <w:numId w:val="4"/>
        </w:numPr>
        <w:tabs>
          <w:tab w:val="clear" w:pos="288"/>
          <w:tab w:val="left" w:pos="3024"/>
        </w:tabs>
        <w:spacing w:before="2" w:line="233" w:lineRule="exact"/>
        <w:ind w:left="2736"/>
        <w:textAlignment w:val="baseline"/>
        <w:rPr>
          <w:rFonts w:ascii="Arial Narrow" w:eastAsia="Arial Narrow" w:hAnsi="Arial Narrow"/>
          <w:color w:val="1F497D"/>
          <w:sz w:val="21"/>
        </w:rPr>
      </w:pPr>
      <w:r>
        <w:rPr>
          <w:rFonts w:ascii="Arial Narrow" w:eastAsia="Arial Narrow" w:hAnsi="Arial Narrow"/>
          <w:color w:val="1F497D"/>
          <w:sz w:val="21"/>
        </w:rPr>
        <w:t>$120,000 PCDC investment</w:t>
      </w:r>
    </w:p>
    <w:p w14:paraId="3FCFAB24" w14:textId="77777777" w:rsidR="003E30E6" w:rsidRDefault="00354D61">
      <w:pPr>
        <w:numPr>
          <w:ilvl w:val="0"/>
          <w:numId w:val="4"/>
        </w:numPr>
        <w:tabs>
          <w:tab w:val="clear" w:pos="288"/>
          <w:tab w:val="left" w:pos="3024"/>
        </w:tabs>
        <w:spacing w:before="7" w:line="238" w:lineRule="exact"/>
        <w:ind w:left="2736"/>
        <w:textAlignment w:val="baseline"/>
        <w:rPr>
          <w:rFonts w:ascii="Arial Narrow" w:eastAsia="Arial Narrow" w:hAnsi="Arial Narrow"/>
          <w:color w:val="1F497D"/>
          <w:sz w:val="21"/>
        </w:rPr>
      </w:pPr>
      <w:r>
        <w:rPr>
          <w:rFonts w:ascii="Arial Narrow" w:eastAsia="Arial Narrow" w:hAnsi="Arial Narrow"/>
          <w:color w:val="1F497D"/>
          <w:sz w:val="21"/>
        </w:rPr>
        <w:t>$891,133 Private investment generated</w:t>
      </w:r>
    </w:p>
    <w:p w14:paraId="1CE55EAB" w14:textId="77777777" w:rsidR="003E30E6" w:rsidRDefault="00354D61">
      <w:pPr>
        <w:spacing w:before="137" w:line="238" w:lineRule="exact"/>
        <w:jc w:val="center"/>
        <w:textAlignment w:val="baseline"/>
        <w:rPr>
          <w:rFonts w:ascii="Arial Narrow" w:eastAsia="Arial Narrow" w:hAnsi="Arial Narrow"/>
          <w:color w:val="1F497D"/>
          <w:sz w:val="21"/>
          <w:u w:val="single"/>
        </w:rPr>
      </w:pPr>
      <w:r>
        <w:rPr>
          <w:rFonts w:ascii="Arial Narrow" w:eastAsia="Arial Narrow" w:hAnsi="Arial Narrow"/>
          <w:color w:val="1F497D"/>
          <w:sz w:val="21"/>
          <w:u w:val="single"/>
        </w:rPr>
        <w:t>Building Integrity</w:t>
      </w:r>
      <w:r>
        <w:rPr>
          <w:rFonts w:ascii="Arial Narrow" w:eastAsia="Arial Narrow" w:hAnsi="Arial Narrow"/>
          <w:color w:val="1F497D"/>
          <w:sz w:val="21"/>
        </w:rPr>
        <w:t xml:space="preserve"> assistance to address structural deficiencies that prevent other necessary improvements</w:t>
      </w:r>
    </w:p>
    <w:p w14:paraId="266D90C0" w14:textId="77777777" w:rsidR="003E30E6" w:rsidRDefault="00354D61">
      <w:pPr>
        <w:numPr>
          <w:ilvl w:val="0"/>
          <w:numId w:val="1"/>
        </w:numPr>
        <w:tabs>
          <w:tab w:val="clear" w:pos="360"/>
          <w:tab w:val="left" w:pos="2304"/>
        </w:tabs>
        <w:spacing w:line="254" w:lineRule="exact"/>
        <w:ind w:left="1944"/>
        <w:textAlignment w:val="baseline"/>
        <w:rPr>
          <w:rFonts w:ascii="Arial Narrow" w:eastAsia="Arial Narrow" w:hAnsi="Arial Narrow"/>
          <w:b/>
          <w:color w:val="1F497D"/>
          <w:sz w:val="21"/>
          <w:u w:val="single"/>
        </w:rPr>
      </w:pPr>
      <w:r>
        <w:rPr>
          <w:rFonts w:ascii="Arial Narrow" w:eastAsia="Arial Narrow" w:hAnsi="Arial Narrow"/>
          <w:b/>
          <w:color w:val="1F497D"/>
          <w:sz w:val="21"/>
          <w:u w:val="single"/>
        </w:rPr>
        <w:t xml:space="preserve">4 Buildings improved </w:t>
      </w:r>
    </w:p>
    <w:p w14:paraId="5456EC4B" w14:textId="77777777" w:rsidR="003E30E6" w:rsidRDefault="00354D61">
      <w:pPr>
        <w:numPr>
          <w:ilvl w:val="0"/>
          <w:numId w:val="5"/>
        </w:numPr>
        <w:tabs>
          <w:tab w:val="clear" w:pos="144"/>
          <w:tab w:val="left" w:pos="3024"/>
        </w:tabs>
        <w:spacing w:before="2" w:line="233" w:lineRule="exact"/>
        <w:ind w:left="2880"/>
        <w:textAlignment w:val="baseline"/>
        <w:rPr>
          <w:rFonts w:ascii="Arial Narrow" w:eastAsia="Arial Narrow" w:hAnsi="Arial Narrow"/>
          <w:color w:val="1F497D"/>
          <w:sz w:val="21"/>
        </w:rPr>
      </w:pPr>
      <w:r>
        <w:rPr>
          <w:rFonts w:ascii="Arial Narrow" w:eastAsia="Arial Narrow" w:hAnsi="Arial Narrow"/>
          <w:color w:val="1F497D"/>
          <w:sz w:val="21"/>
        </w:rPr>
        <w:t>$24,780 PCDC investment</w:t>
      </w:r>
    </w:p>
    <w:p w14:paraId="25B3CB38" w14:textId="77777777" w:rsidR="003E30E6" w:rsidRDefault="00354D61">
      <w:pPr>
        <w:numPr>
          <w:ilvl w:val="0"/>
          <w:numId w:val="5"/>
        </w:numPr>
        <w:tabs>
          <w:tab w:val="clear" w:pos="144"/>
          <w:tab w:val="left" w:pos="3024"/>
        </w:tabs>
        <w:spacing w:before="7" w:line="238" w:lineRule="exact"/>
        <w:ind w:left="2880"/>
        <w:textAlignment w:val="baseline"/>
        <w:rPr>
          <w:rFonts w:ascii="Arial Narrow" w:eastAsia="Arial Narrow" w:hAnsi="Arial Narrow"/>
          <w:color w:val="1F497D"/>
          <w:sz w:val="21"/>
        </w:rPr>
      </w:pPr>
      <w:r>
        <w:rPr>
          <w:rFonts w:ascii="Arial Narrow" w:eastAsia="Arial Narrow" w:hAnsi="Arial Narrow"/>
          <w:color w:val="1F497D"/>
          <w:sz w:val="21"/>
        </w:rPr>
        <w:t>$61,025 Private investment generated</w:t>
      </w:r>
    </w:p>
    <w:p w14:paraId="7D87F23D" w14:textId="77777777" w:rsidR="003E30E6" w:rsidRDefault="00354D61">
      <w:pPr>
        <w:spacing w:before="136" w:line="238" w:lineRule="exact"/>
        <w:ind w:left="1584"/>
        <w:textAlignment w:val="baseline"/>
        <w:rPr>
          <w:rFonts w:ascii="Arial Narrow" w:eastAsia="Arial Narrow" w:hAnsi="Arial Narrow"/>
          <w:color w:val="002060"/>
          <w:sz w:val="21"/>
          <w:u w:val="single"/>
        </w:rPr>
      </w:pPr>
      <w:r>
        <w:rPr>
          <w:rFonts w:ascii="Arial Narrow" w:eastAsia="Arial Narrow" w:hAnsi="Arial Narrow"/>
          <w:color w:val="002060"/>
          <w:sz w:val="21"/>
          <w:u w:val="single"/>
        </w:rPr>
        <w:t>Competition Ball Field Complex</w:t>
      </w:r>
      <w:r>
        <w:rPr>
          <w:rFonts w:ascii="Arial Narrow" w:eastAsia="Arial Narrow" w:hAnsi="Arial Narrow"/>
          <w:color w:val="1F497D"/>
          <w:sz w:val="21"/>
          <w:u w:val="single"/>
        </w:rPr>
        <w:t xml:space="preserve"> </w:t>
      </w:r>
    </w:p>
    <w:p w14:paraId="636518A0" w14:textId="77777777" w:rsidR="003E30E6" w:rsidRDefault="00354D61">
      <w:pPr>
        <w:numPr>
          <w:ilvl w:val="0"/>
          <w:numId w:val="1"/>
        </w:numPr>
        <w:tabs>
          <w:tab w:val="clear" w:pos="360"/>
          <w:tab w:val="left" w:pos="2304"/>
        </w:tabs>
        <w:spacing w:after="76" w:line="250" w:lineRule="exact"/>
        <w:ind w:left="1944"/>
        <w:textAlignment w:val="baseline"/>
        <w:rPr>
          <w:rFonts w:ascii="Arial Narrow" w:eastAsia="Arial Narrow" w:hAnsi="Arial Narrow"/>
          <w:color w:val="1F497D"/>
          <w:sz w:val="21"/>
        </w:rPr>
      </w:pPr>
      <w:r>
        <w:rPr>
          <w:rFonts w:ascii="Arial Narrow" w:eastAsia="Arial Narrow" w:hAnsi="Arial Narrow"/>
          <w:color w:val="1F497D"/>
          <w:sz w:val="21"/>
        </w:rPr>
        <w:t xml:space="preserve">$1 million committed </w:t>
      </w:r>
      <w:proofErr w:type="gramStart"/>
      <w:r>
        <w:rPr>
          <w:rFonts w:ascii="Arial Narrow" w:eastAsia="Arial Narrow" w:hAnsi="Arial Narrow"/>
          <w:color w:val="1F497D"/>
          <w:sz w:val="21"/>
        </w:rPr>
        <w:t>for</w:t>
      </w:r>
      <w:proofErr w:type="gramEnd"/>
      <w:r>
        <w:rPr>
          <w:rFonts w:ascii="Arial Narrow" w:eastAsia="Arial Narrow" w:hAnsi="Arial Narrow"/>
          <w:color w:val="1F497D"/>
          <w:sz w:val="21"/>
        </w:rPr>
        <w:t xml:space="preserve"> a 4-field complex with concessions and public facilities</w:t>
      </w:r>
    </w:p>
    <w:tbl>
      <w:tblPr>
        <w:tblW w:w="0" w:type="auto"/>
        <w:tblLayout w:type="fixed"/>
        <w:tblCellMar>
          <w:left w:w="0" w:type="dxa"/>
          <w:right w:w="0" w:type="dxa"/>
        </w:tblCellMar>
        <w:tblLook w:val="04A0" w:firstRow="1" w:lastRow="0" w:firstColumn="1" w:lastColumn="0" w:noHBand="0" w:noVBand="1"/>
      </w:tblPr>
      <w:tblGrid>
        <w:gridCol w:w="2193"/>
        <w:gridCol w:w="1124"/>
        <w:gridCol w:w="6783"/>
      </w:tblGrid>
      <w:tr w:rsidR="003E30E6" w14:paraId="07D927EB" w14:textId="77777777">
        <w:tblPrEx>
          <w:tblCellMar>
            <w:top w:w="0" w:type="dxa"/>
            <w:bottom w:w="0" w:type="dxa"/>
          </w:tblCellMar>
        </w:tblPrEx>
        <w:trPr>
          <w:trHeight w:hRule="exact" w:val="293"/>
        </w:trPr>
        <w:tc>
          <w:tcPr>
            <w:tcW w:w="10100" w:type="dxa"/>
            <w:gridSpan w:val="3"/>
            <w:vAlign w:val="center"/>
          </w:tcPr>
          <w:p w14:paraId="74EA7F93" w14:textId="77777777" w:rsidR="003E30E6" w:rsidRDefault="00354D61">
            <w:pPr>
              <w:spacing w:before="55" w:line="223" w:lineRule="exact"/>
              <w:ind w:right="4369"/>
              <w:jc w:val="right"/>
              <w:textAlignment w:val="baseline"/>
              <w:rPr>
                <w:rFonts w:ascii="Arial Narrow" w:eastAsia="Arial Narrow" w:hAnsi="Arial Narrow"/>
                <w:b/>
                <w:color w:val="01B0F0"/>
                <w:sz w:val="21"/>
              </w:rPr>
            </w:pPr>
            <w:r>
              <w:rPr>
                <w:rFonts w:ascii="Arial Narrow" w:eastAsia="Arial Narrow" w:hAnsi="Arial Narrow"/>
                <w:b/>
                <w:color w:val="01B0F0"/>
                <w:sz w:val="21"/>
              </w:rPr>
              <w:t>OTHER AGGREGATED EXPENSES AND REVENUES</w:t>
            </w:r>
          </w:p>
          <w:p w14:paraId="386EA5BD" w14:textId="77777777" w:rsidR="00354D61" w:rsidRDefault="00354D61">
            <w:pPr>
              <w:spacing w:before="55" w:line="223" w:lineRule="exact"/>
              <w:ind w:right="4369"/>
              <w:jc w:val="right"/>
              <w:textAlignment w:val="baseline"/>
              <w:rPr>
                <w:rFonts w:ascii="Arial Narrow" w:eastAsia="Arial Narrow" w:hAnsi="Arial Narrow"/>
                <w:b/>
                <w:color w:val="01B0F0"/>
                <w:sz w:val="21"/>
              </w:rPr>
            </w:pPr>
          </w:p>
        </w:tc>
      </w:tr>
      <w:tr w:rsidR="003E30E6" w14:paraId="6CC8D47C" w14:textId="77777777">
        <w:tblPrEx>
          <w:tblCellMar>
            <w:top w:w="0" w:type="dxa"/>
            <w:bottom w:w="0" w:type="dxa"/>
          </w:tblCellMar>
        </w:tblPrEx>
        <w:trPr>
          <w:trHeight w:hRule="exact" w:val="254"/>
        </w:trPr>
        <w:tc>
          <w:tcPr>
            <w:tcW w:w="2193" w:type="dxa"/>
            <w:vAlign w:val="center"/>
          </w:tcPr>
          <w:p w14:paraId="30DD1732" w14:textId="77777777" w:rsidR="003E30E6" w:rsidRDefault="00354D61">
            <w:pPr>
              <w:spacing w:line="243" w:lineRule="exact"/>
              <w:ind w:right="139"/>
              <w:jc w:val="right"/>
              <w:textAlignment w:val="baseline"/>
              <w:rPr>
                <w:rFonts w:ascii="Tahoma" w:eastAsia="Tahoma" w:hAnsi="Tahoma"/>
                <w:color w:val="1F497D"/>
              </w:rPr>
            </w:pPr>
            <w:r>
              <w:rPr>
                <w:rFonts w:ascii="Tahoma" w:eastAsia="Tahoma" w:hAnsi="Tahoma"/>
                <w:color w:val="1F497D"/>
              </w:rPr>
              <w:t>•</w:t>
            </w:r>
          </w:p>
        </w:tc>
        <w:tc>
          <w:tcPr>
            <w:tcW w:w="1124" w:type="dxa"/>
            <w:vAlign w:val="center"/>
          </w:tcPr>
          <w:p w14:paraId="2CCFB52D" w14:textId="77777777" w:rsidR="003E30E6" w:rsidRDefault="00354D61">
            <w:pPr>
              <w:spacing w:line="228"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$114,076</w:t>
            </w:r>
          </w:p>
        </w:tc>
        <w:tc>
          <w:tcPr>
            <w:tcW w:w="6783" w:type="dxa"/>
            <w:vAlign w:val="center"/>
          </w:tcPr>
          <w:p w14:paraId="37665B49" w14:textId="77777777" w:rsidR="003E30E6" w:rsidRDefault="00354D61">
            <w:pPr>
              <w:spacing w:line="228" w:lineRule="exact"/>
              <w:ind w:left="278"/>
              <w:textAlignment w:val="baseline"/>
              <w:rPr>
                <w:rFonts w:ascii="Arial Narrow" w:eastAsia="Arial Narrow" w:hAnsi="Arial Narrow"/>
                <w:color w:val="1F497D"/>
                <w:sz w:val="21"/>
              </w:rPr>
            </w:pPr>
            <w:r>
              <w:rPr>
                <w:rFonts w:ascii="Arial Narrow" w:eastAsia="Arial Narrow" w:hAnsi="Arial Narrow"/>
                <w:color w:val="1F497D"/>
                <w:sz w:val="21"/>
              </w:rPr>
              <w:t>Engineering &amp; Professional Services (8.5 years)</w:t>
            </w:r>
          </w:p>
        </w:tc>
      </w:tr>
      <w:tr w:rsidR="003E30E6" w14:paraId="78B461A8" w14:textId="77777777">
        <w:tblPrEx>
          <w:tblCellMar>
            <w:top w:w="0" w:type="dxa"/>
            <w:bottom w:w="0" w:type="dxa"/>
          </w:tblCellMar>
        </w:tblPrEx>
        <w:trPr>
          <w:trHeight w:hRule="exact" w:val="259"/>
        </w:trPr>
        <w:tc>
          <w:tcPr>
            <w:tcW w:w="2193" w:type="dxa"/>
            <w:vAlign w:val="center"/>
          </w:tcPr>
          <w:p w14:paraId="6F8C987F" w14:textId="77777777" w:rsidR="003E30E6" w:rsidRDefault="00354D61">
            <w:pPr>
              <w:spacing w:line="248" w:lineRule="exact"/>
              <w:ind w:right="139"/>
              <w:jc w:val="right"/>
              <w:textAlignment w:val="baseline"/>
              <w:rPr>
                <w:rFonts w:ascii="Tahoma" w:eastAsia="Tahoma" w:hAnsi="Tahoma"/>
                <w:color w:val="1F497D"/>
              </w:rPr>
            </w:pPr>
            <w:r>
              <w:rPr>
                <w:rFonts w:ascii="Tahoma" w:eastAsia="Tahoma" w:hAnsi="Tahoma"/>
                <w:color w:val="1F497D"/>
              </w:rPr>
              <w:t>•</w:t>
            </w:r>
          </w:p>
        </w:tc>
        <w:tc>
          <w:tcPr>
            <w:tcW w:w="1124" w:type="dxa"/>
            <w:vAlign w:val="center"/>
          </w:tcPr>
          <w:p w14:paraId="7FC33F49" w14:textId="77777777" w:rsidR="003E30E6" w:rsidRDefault="00354D61">
            <w:pPr>
              <w:spacing w:line="233"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$530,909</w:t>
            </w:r>
          </w:p>
        </w:tc>
        <w:tc>
          <w:tcPr>
            <w:tcW w:w="6783" w:type="dxa"/>
            <w:vAlign w:val="center"/>
          </w:tcPr>
          <w:p w14:paraId="005FDD2B" w14:textId="77777777" w:rsidR="003E30E6" w:rsidRDefault="00354D61">
            <w:pPr>
              <w:spacing w:line="233" w:lineRule="exact"/>
              <w:ind w:left="278"/>
              <w:textAlignment w:val="baseline"/>
              <w:rPr>
                <w:rFonts w:ascii="Arial Narrow" w:eastAsia="Arial Narrow" w:hAnsi="Arial Narrow"/>
                <w:color w:val="1F497D"/>
                <w:sz w:val="21"/>
              </w:rPr>
            </w:pPr>
            <w:r>
              <w:rPr>
                <w:rFonts w:ascii="Arial Narrow" w:eastAsia="Arial Narrow" w:hAnsi="Arial Narrow"/>
                <w:color w:val="1F497D"/>
                <w:sz w:val="21"/>
              </w:rPr>
              <w:t>Marketing, Advertising, Publicity, Publications (8.5 years - $62,456/year)</w:t>
            </w:r>
          </w:p>
        </w:tc>
      </w:tr>
      <w:tr w:rsidR="003E30E6" w14:paraId="54120403" w14:textId="77777777">
        <w:tblPrEx>
          <w:tblCellMar>
            <w:top w:w="0" w:type="dxa"/>
            <w:bottom w:w="0" w:type="dxa"/>
          </w:tblCellMar>
        </w:tblPrEx>
        <w:trPr>
          <w:trHeight w:hRule="exact" w:val="255"/>
        </w:trPr>
        <w:tc>
          <w:tcPr>
            <w:tcW w:w="2193" w:type="dxa"/>
            <w:vAlign w:val="center"/>
          </w:tcPr>
          <w:p w14:paraId="3B135C39" w14:textId="77777777" w:rsidR="003E30E6" w:rsidRDefault="00354D61">
            <w:pPr>
              <w:spacing w:line="248" w:lineRule="exact"/>
              <w:ind w:right="139"/>
              <w:jc w:val="right"/>
              <w:textAlignment w:val="baseline"/>
              <w:rPr>
                <w:rFonts w:ascii="Tahoma" w:eastAsia="Tahoma" w:hAnsi="Tahoma"/>
                <w:color w:val="1F497D"/>
              </w:rPr>
            </w:pPr>
            <w:r>
              <w:rPr>
                <w:rFonts w:ascii="Tahoma" w:eastAsia="Tahoma" w:hAnsi="Tahoma"/>
                <w:color w:val="1F497D"/>
              </w:rPr>
              <w:t>•</w:t>
            </w:r>
          </w:p>
        </w:tc>
        <w:tc>
          <w:tcPr>
            <w:tcW w:w="1124" w:type="dxa"/>
            <w:vAlign w:val="center"/>
          </w:tcPr>
          <w:p w14:paraId="70C5D809" w14:textId="77777777" w:rsidR="003E30E6" w:rsidRDefault="00354D61">
            <w:pPr>
              <w:spacing w:line="233"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$112,430</w:t>
            </w:r>
          </w:p>
        </w:tc>
        <w:tc>
          <w:tcPr>
            <w:tcW w:w="6783" w:type="dxa"/>
            <w:vAlign w:val="center"/>
          </w:tcPr>
          <w:p w14:paraId="70FDCF99" w14:textId="77777777" w:rsidR="003E30E6" w:rsidRDefault="00354D61">
            <w:pPr>
              <w:spacing w:line="233" w:lineRule="exact"/>
              <w:ind w:left="278"/>
              <w:textAlignment w:val="baseline"/>
              <w:rPr>
                <w:rFonts w:ascii="Arial Narrow" w:eastAsia="Arial Narrow" w:hAnsi="Arial Narrow"/>
                <w:color w:val="1F497D"/>
                <w:sz w:val="21"/>
              </w:rPr>
            </w:pPr>
            <w:r>
              <w:rPr>
                <w:rFonts w:ascii="Arial Narrow" w:eastAsia="Arial Narrow" w:hAnsi="Arial Narrow"/>
                <w:color w:val="1F497D"/>
                <w:sz w:val="21"/>
              </w:rPr>
              <w:t>Recruitment, Trade Shows, Business Development (8.5 years - $13,227/year)</w:t>
            </w:r>
          </w:p>
        </w:tc>
      </w:tr>
      <w:tr w:rsidR="003E30E6" w14:paraId="75FB344D" w14:textId="77777777">
        <w:tblPrEx>
          <w:tblCellMar>
            <w:top w:w="0" w:type="dxa"/>
            <w:bottom w:w="0" w:type="dxa"/>
          </w:tblCellMar>
        </w:tblPrEx>
        <w:trPr>
          <w:trHeight w:hRule="exact" w:val="312"/>
        </w:trPr>
        <w:tc>
          <w:tcPr>
            <w:tcW w:w="2193" w:type="dxa"/>
            <w:vAlign w:val="center"/>
          </w:tcPr>
          <w:p w14:paraId="5230C26D" w14:textId="77777777" w:rsidR="003E30E6" w:rsidRDefault="00354D61" w:rsidP="00354D61">
            <w:pPr>
              <w:ind w:right="139"/>
              <w:jc w:val="right"/>
              <w:textAlignment w:val="baseline"/>
              <w:rPr>
                <w:rFonts w:ascii="Tahoma" w:eastAsia="Tahoma" w:hAnsi="Tahoma"/>
                <w:color w:val="1F497D"/>
              </w:rPr>
            </w:pPr>
            <w:r>
              <w:rPr>
                <w:rFonts w:ascii="Tahoma" w:eastAsia="Tahoma" w:hAnsi="Tahoma"/>
                <w:color w:val="1F497D"/>
              </w:rPr>
              <w:t>•</w:t>
            </w:r>
          </w:p>
        </w:tc>
        <w:tc>
          <w:tcPr>
            <w:tcW w:w="1124" w:type="dxa"/>
            <w:vAlign w:val="center"/>
          </w:tcPr>
          <w:p w14:paraId="339FB98C" w14:textId="77777777" w:rsidR="003E30E6" w:rsidRDefault="00354D61" w:rsidP="00354D61">
            <w:pPr>
              <w:ind w:left="144"/>
              <w:textAlignment w:val="baseline"/>
              <w:rPr>
                <w:rFonts w:ascii="Arial Narrow" w:eastAsia="Arial Narrow" w:hAnsi="Arial Narrow"/>
                <w:color w:val="1F497D"/>
                <w:sz w:val="21"/>
              </w:rPr>
            </w:pPr>
            <w:r>
              <w:rPr>
                <w:rFonts w:ascii="Arial Narrow" w:eastAsia="Arial Narrow" w:hAnsi="Arial Narrow"/>
                <w:color w:val="1F497D"/>
                <w:sz w:val="21"/>
              </w:rPr>
              <w:t>$689,637</w:t>
            </w:r>
          </w:p>
        </w:tc>
        <w:tc>
          <w:tcPr>
            <w:tcW w:w="6783" w:type="dxa"/>
            <w:vAlign w:val="center"/>
          </w:tcPr>
          <w:p w14:paraId="7D93D512" w14:textId="77777777" w:rsidR="003E30E6" w:rsidRDefault="00354D61" w:rsidP="00354D61">
            <w:pPr>
              <w:ind w:left="278"/>
              <w:textAlignment w:val="baseline"/>
              <w:rPr>
                <w:rFonts w:ascii="Arial Narrow" w:eastAsia="Arial Narrow" w:hAnsi="Arial Narrow"/>
                <w:color w:val="1F497D"/>
                <w:sz w:val="21"/>
              </w:rPr>
            </w:pPr>
            <w:r>
              <w:rPr>
                <w:rFonts w:ascii="Arial Narrow" w:eastAsia="Arial Narrow" w:hAnsi="Arial Narrow"/>
                <w:color w:val="1F497D"/>
                <w:sz w:val="21"/>
              </w:rPr>
              <w:t>Salaries and Operations (8.5 years - $81,134/year)</w:t>
            </w:r>
          </w:p>
          <w:p w14:paraId="119E038F" w14:textId="77777777" w:rsidR="00354D61" w:rsidRDefault="00354D61" w:rsidP="00354D61">
            <w:pPr>
              <w:ind w:left="278"/>
              <w:textAlignment w:val="baseline"/>
              <w:rPr>
                <w:rFonts w:ascii="Arial Narrow" w:eastAsia="Arial Narrow" w:hAnsi="Arial Narrow"/>
                <w:color w:val="1F497D"/>
                <w:sz w:val="21"/>
              </w:rPr>
            </w:pPr>
          </w:p>
        </w:tc>
      </w:tr>
      <w:tr w:rsidR="003E30E6" w14:paraId="03F95F70" w14:textId="77777777">
        <w:tblPrEx>
          <w:tblCellMar>
            <w:top w:w="0" w:type="dxa"/>
            <w:bottom w:w="0" w:type="dxa"/>
          </w:tblCellMar>
        </w:tblPrEx>
        <w:trPr>
          <w:trHeight w:hRule="exact" w:val="312"/>
        </w:trPr>
        <w:tc>
          <w:tcPr>
            <w:tcW w:w="2193" w:type="dxa"/>
            <w:vAlign w:val="center"/>
          </w:tcPr>
          <w:p w14:paraId="41126662" w14:textId="77777777" w:rsidR="003E30E6" w:rsidRDefault="00354D61" w:rsidP="00354D61">
            <w:pPr>
              <w:ind w:right="139"/>
              <w:jc w:val="right"/>
              <w:textAlignment w:val="baseline"/>
              <w:rPr>
                <w:rFonts w:ascii="Tahoma" w:eastAsia="Tahoma" w:hAnsi="Tahoma"/>
                <w:color w:val="1F497D"/>
              </w:rPr>
            </w:pPr>
            <w:r>
              <w:rPr>
                <w:rFonts w:ascii="Tahoma" w:eastAsia="Tahoma" w:hAnsi="Tahoma"/>
                <w:color w:val="1F497D"/>
              </w:rPr>
              <w:t>•</w:t>
            </w:r>
          </w:p>
        </w:tc>
        <w:tc>
          <w:tcPr>
            <w:tcW w:w="1124" w:type="dxa"/>
            <w:vAlign w:val="center"/>
          </w:tcPr>
          <w:p w14:paraId="79EE938B" w14:textId="77777777" w:rsidR="003E30E6" w:rsidRDefault="00354D61" w:rsidP="00354D61">
            <w:pPr>
              <w:ind w:left="144"/>
              <w:textAlignment w:val="baseline"/>
              <w:rPr>
                <w:rFonts w:ascii="Arial Narrow" w:eastAsia="Arial Narrow" w:hAnsi="Arial Narrow"/>
                <w:color w:val="1F497D"/>
                <w:sz w:val="21"/>
              </w:rPr>
            </w:pPr>
            <w:r>
              <w:rPr>
                <w:rFonts w:ascii="Arial Narrow" w:eastAsia="Arial Narrow" w:hAnsi="Arial Narrow"/>
                <w:color w:val="1F497D"/>
                <w:sz w:val="21"/>
              </w:rPr>
              <w:t>$38,501</w:t>
            </w:r>
          </w:p>
        </w:tc>
        <w:tc>
          <w:tcPr>
            <w:tcW w:w="6783" w:type="dxa"/>
            <w:vAlign w:val="center"/>
          </w:tcPr>
          <w:p w14:paraId="509F2272" w14:textId="77777777" w:rsidR="003E30E6" w:rsidRDefault="00354D61" w:rsidP="00354D61">
            <w:pPr>
              <w:ind w:left="278"/>
              <w:textAlignment w:val="baseline"/>
              <w:rPr>
                <w:rFonts w:ascii="Arial Narrow" w:eastAsia="Arial Narrow" w:hAnsi="Arial Narrow"/>
                <w:color w:val="1F497D"/>
                <w:sz w:val="21"/>
              </w:rPr>
            </w:pPr>
            <w:r>
              <w:rPr>
                <w:rFonts w:ascii="Arial Narrow" w:eastAsia="Arial Narrow" w:hAnsi="Arial Narrow"/>
                <w:color w:val="1F497D"/>
                <w:sz w:val="21"/>
              </w:rPr>
              <w:t>Interest Earned on Loans</w:t>
            </w:r>
          </w:p>
        </w:tc>
      </w:tr>
      <w:tr w:rsidR="003E30E6" w14:paraId="35EB48FD" w14:textId="77777777">
        <w:tblPrEx>
          <w:tblCellMar>
            <w:top w:w="0" w:type="dxa"/>
            <w:bottom w:w="0" w:type="dxa"/>
          </w:tblCellMar>
        </w:tblPrEx>
        <w:trPr>
          <w:trHeight w:hRule="exact" w:val="259"/>
        </w:trPr>
        <w:tc>
          <w:tcPr>
            <w:tcW w:w="2193" w:type="dxa"/>
            <w:vAlign w:val="center"/>
          </w:tcPr>
          <w:p w14:paraId="10CEEE02" w14:textId="77777777" w:rsidR="003E30E6" w:rsidRDefault="00354D61">
            <w:pPr>
              <w:spacing w:line="247" w:lineRule="exact"/>
              <w:ind w:right="139"/>
              <w:jc w:val="right"/>
              <w:textAlignment w:val="baseline"/>
              <w:rPr>
                <w:rFonts w:ascii="Tahoma" w:eastAsia="Tahoma" w:hAnsi="Tahoma"/>
                <w:color w:val="1F497D"/>
              </w:rPr>
            </w:pPr>
            <w:r>
              <w:rPr>
                <w:rFonts w:ascii="Tahoma" w:eastAsia="Tahoma" w:hAnsi="Tahoma"/>
                <w:color w:val="1F497D"/>
              </w:rPr>
              <w:t>•</w:t>
            </w:r>
          </w:p>
        </w:tc>
        <w:tc>
          <w:tcPr>
            <w:tcW w:w="1124" w:type="dxa"/>
            <w:vAlign w:val="center"/>
          </w:tcPr>
          <w:p w14:paraId="6D8D7D8B" w14:textId="77777777" w:rsidR="003E30E6" w:rsidRDefault="00354D61">
            <w:pPr>
              <w:spacing w:line="232"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$72,000</w:t>
            </w:r>
          </w:p>
        </w:tc>
        <w:tc>
          <w:tcPr>
            <w:tcW w:w="6783" w:type="dxa"/>
            <w:vAlign w:val="center"/>
          </w:tcPr>
          <w:p w14:paraId="68162DE3" w14:textId="77777777" w:rsidR="003E30E6" w:rsidRDefault="00354D61">
            <w:pPr>
              <w:spacing w:line="232" w:lineRule="exact"/>
              <w:ind w:left="278"/>
              <w:textAlignment w:val="baseline"/>
              <w:rPr>
                <w:rFonts w:ascii="Arial Narrow" w:eastAsia="Arial Narrow" w:hAnsi="Arial Narrow"/>
                <w:color w:val="1F497D"/>
                <w:sz w:val="21"/>
              </w:rPr>
            </w:pPr>
            <w:r>
              <w:rPr>
                <w:rFonts w:ascii="Arial Narrow" w:eastAsia="Arial Narrow" w:hAnsi="Arial Narrow"/>
                <w:color w:val="1F497D"/>
                <w:sz w:val="21"/>
              </w:rPr>
              <w:t>Interest Earned on CD’s, Money Market Accounts</w:t>
            </w:r>
          </w:p>
        </w:tc>
      </w:tr>
      <w:tr w:rsidR="003E30E6" w14:paraId="45A36276" w14:textId="77777777">
        <w:tblPrEx>
          <w:tblCellMar>
            <w:top w:w="0" w:type="dxa"/>
            <w:bottom w:w="0" w:type="dxa"/>
          </w:tblCellMar>
        </w:tblPrEx>
        <w:trPr>
          <w:trHeight w:hRule="exact" w:val="254"/>
        </w:trPr>
        <w:tc>
          <w:tcPr>
            <w:tcW w:w="2193" w:type="dxa"/>
            <w:vAlign w:val="center"/>
          </w:tcPr>
          <w:p w14:paraId="1E5BDE7D" w14:textId="77777777" w:rsidR="003E30E6" w:rsidRDefault="00354D61">
            <w:pPr>
              <w:spacing w:line="248" w:lineRule="exact"/>
              <w:ind w:right="139"/>
              <w:jc w:val="right"/>
              <w:textAlignment w:val="baseline"/>
              <w:rPr>
                <w:rFonts w:ascii="Tahoma" w:eastAsia="Tahoma" w:hAnsi="Tahoma"/>
                <w:color w:val="1F497D"/>
              </w:rPr>
            </w:pPr>
            <w:r>
              <w:rPr>
                <w:rFonts w:ascii="Tahoma" w:eastAsia="Tahoma" w:hAnsi="Tahoma"/>
                <w:color w:val="1F497D"/>
              </w:rPr>
              <w:t>•</w:t>
            </w:r>
          </w:p>
        </w:tc>
        <w:tc>
          <w:tcPr>
            <w:tcW w:w="1124" w:type="dxa"/>
            <w:vAlign w:val="center"/>
          </w:tcPr>
          <w:p w14:paraId="45732D50" w14:textId="77777777" w:rsidR="003E30E6" w:rsidRDefault="00354D61">
            <w:pPr>
              <w:spacing w:line="233"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$900,000</w:t>
            </w:r>
          </w:p>
        </w:tc>
        <w:tc>
          <w:tcPr>
            <w:tcW w:w="6783" w:type="dxa"/>
            <w:vAlign w:val="center"/>
          </w:tcPr>
          <w:p w14:paraId="6E9E2FF9" w14:textId="77777777" w:rsidR="003E30E6" w:rsidRDefault="00354D61">
            <w:pPr>
              <w:spacing w:line="233" w:lineRule="exact"/>
              <w:ind w:left="278"/>
              <w:textAlignment w:val="baseline"/>
              <w:rPr>
                <w:rFonts w:ascii="Arial Narrow" w:eastAsia="Arial Narrow" w:hAnsi="Arial Narrow"/>
                <w:color w:val="1F497D"/>
                <w:sz w:val="21"/>
              </w:rPr>
            </w:pPr>
            <w:r>
              <w:rPr>
                <w:rFonts w:ascii="Arial Narrow" w:eastAsia="Arial Narrow" w:hAnsi="Arial Narrow"/>
                <w:color w:val="1F497D"/>
                <w:sz w:val="21"/>
              </w:rPr>
              <w:t>Grant Revenue Earned by Leveraging LB840</w:t>
            </w:r>
          </w:p>
        </w:tc>
      </w:tr>
      <w:tr w:rsidR="003E30E6" w14:paraId="72B084F7" w14:textId="77777777">
        <w:tblPrEx>
          <w:tblCellMar>
            <w:top w:w="0" w:type="dxa"/>
            <w:bottom w:w="0" w:type="dxa"/>
          </w:tblCellMar>
        </w:tblPrEx>
        <w:trPr>
          <w:trHeight w:hRule="exact" w:val="255"/>
        </w:trPr>
        <w:tc>
          <w:tcPr>
            <w:tcW w:w="2193" w:type="dxa"/>
            <w:vAlign w:val="center"/>
          </w:tcPr>
          <w:p w14:paraId="28051E36" w14:textId="77777777" w:rsidR="003E30E6" w:rsidRDefault="00354D61">
            <w:pPr>
              <w:spacing w:line="238" w:lineRule="exact"/>
              <w:ind w:right="139"/>
              <w:jc w:val="right"/>
              <w:textAlignment w:val="baseline"/>
              <w:rPr>
                <w:rFonts w:ascii="Tahoma" w:eastAsia="Tahoma" w:hAnsi="Tahoma"/>
                <w:color w:val="1F497D"/>
              </w:rPr>
            </w:pPr>
            <w:r>
              <w:rPr>
                <w:rFonts w:ascii="Tahoma" w:eastAsia="Tahoma" w:hAnsi="Tahoma"/>
                <w:color w:val="1F497D"/>
              </w:rPr>
              <w:t>•</w:t>
            </w:r>
          </w:p>
        </w:tc>
        <w:tc>
          <w:tcPr>
            <w:tcW w:w="1124" w:type="dxa"/>
            <w:vAlign w:val="center"/>
          </w:tcPr>
          <w:p w14:paraId="6764D32F" w14:textId="77777777" w:rsidR="003E30E6" w:rsidRDefault="00354D61">
            <w:pPr>
              <w:spacing w:line="223"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$252,875</w:t>
            </w:r>
          </w:p>
        </w:tc>
        <w:tc>
          <w:tcPr>
            <w:tcW w:w="6783" w:type="dxa"/>
            <w:vAlign w:val="center"/>
          </w:tcPr>
          <w:p w14:paraId="22069C8D" w14:textId="77777777" w:rsidR="003E30E6" w:rsidRDefault="00354D61">
            <w:pPr>
              <w:spacing w:line="223" w:lineRule="exact"/>
              <w:ind w:left="278"/>
              <w:textAlignment w:val="baseline"/>
              <w:rPr>
                <w:rFonts w:ascii="Arial Narrow" w:eastAsia="Arial Narrow" w:hAnsi="Arial Narrow"/>
                <w:color w:val="1F497D"/>
                <w:sz w:val="21"/>
              </w:rPr>
            </w:pPr>
            <w:r>
              <w:rPr>
                <w:rFonts w:ascii="Arial Narrow" w:eastAsia="Arial Narrow" w:hAnsi="Arial Narrow"/>
                <w:color w:val="1F497D"/>
                <w:sz w:val="21"/>
              </w:rPr>
              <w:t>Lease Income on Industrial Property</w:t>
            </w:r>
          </w:p>
        </w:tc>
      </w:tr>
      <w:tr w:rsidR="003E30E6" w14:paraId="662EA3A0" w14:textId="77777777">
        <w:tblPrEx>
          <w:tblCellMar>
            <w:top w:w="0" w:type="dxa"/>
            <w:bottom w:w="0" w:type="dxa"/>
          </w:tblCellMar>
        </w:tblPrEx>
        <w:trPr>
          <w:trHeight w:hRule="exact" w:val="333"/>
        </w:trPr>
        <w:tc>
          <w:tcPr>
            <w:tcW w:w="2193" w:type="dxa"/>
            <w:vAlign w:val="center"/>
          </w:tcPr>
          <w:p w14:paraId="78E9FD53" w14:textId="77777777" w:rsidR="003E30E6" w:rsidRDefault="00354D61">
            <w:pPr>
              <w:spacing w:after="79" w:line="250" w:lineRule="exact"/>
              <w:ind w:right="139"/>
              <w:jc w:val="right"/>
              <w:textAlignment w:val="baseline"/>
              <w:rPr>
                <w:rFonts w:ascii="Tahoma" w:eastAsia="Tahoma" w:hAnsi="Tahoma"/>
                <w:color w:val="1F497D"/>
              </w:rPr>
            </w:pPr>
            <w:r>
              <w:rPr>
                <w:rFonts w:ascii="Tahoma" w:eastAsia="Tahoma" w:hAnsi="Tahoma"/>
                <w:color w:val="1F497D"/>
              </w:rPr>
              <w:t>•</w:t>
            </w:r>
          </w:p>
        </w:tc>
        <w:tc>
          <w:tcPr>
            <w:tcW w:w="1124" w:type="dxa"/>
            <w:vAlign w:val="center"/>
          </w:tcPr>
          <w:p w14:paraId="43A85442" w14:textId="77777777" w:rsidR="003E30E6" w:rsidRDefault="00354D61">
            <w:pPr>
              <w:spacing w:after="81" w:line="233" w:lineRule="exact"/>
              <w:ind w:left="144"/>
              <w:textAlignment w:val="baseline"/>
              <w:rPr>
                <w:rFonts w:ascii="Arial Narrow" w:eastAsia="Arial Narrow" w:hAnsi="Arial Narrow"/>
                <w:color w:val="1F497D"/>
                <w:sz w:val="21"/>
              </w:rPr>
            </w:pPr>
            <w:r>
              <w:rPr>
                <w:rFonts w:ascii="Arial Narrow" w:eastAsia="Arial Narrow" w:hAnsi="Arial Narrow"/>
                <w:color w:val="1F497D"/>
                <w:sz w:val="21"/>
              </w:rPr>
              <w:t>$90,000</w:t>
            </w:r>
          </w:p>
        </w:tc>
        <w:tc>
          <w:tcPr>
            <w:tcW w:w="6783" w:type="dxa"/>
            <w:vAlign w:val="center"/>
          </w:tcPr>
          <w:p w14:paraId="2BB5529A" w14:textId="77777777" w:rsidR="003E30E6" w:rsidRDefault="00354D61">
            <w:pPr>
              <w:spacing w:after="76" w:line="238" w:lineRule="exact"/>
              <w:ind w:left="278"/>
              <w:textAlignment w:val="baseline"/>
              <w:rPr>
                <w:rFonts w:ascii="Arial Narrow" w:eastAsia="Arial Narrow" w:hAnsi="Arial Narrow"/>
                <w:color w:val="1F497D"/>
                <w:sz w:val="21"/>
              </w:rPr>
            </w:pPr>
            <w:r>
              <w:rPr>
                <w:rFonts w:ascii="Arial Narrow" w:eastAsia="Arial Narrow" w:hAnsi="Arial Narrow"/>
                <w:color w:val="1F497D"/>
                <w:sz w:val="21"/>
              </w:rPr>
              <w:t>Proceeds from Sale of Property</w:t>
            </w:r>
          </w:p>
        </w:tc>
      </w:tr>
    </w:tbl>
    <w:p w14:paraId="3A2BFA1A" w14:textId="7C366A13" w:rsidR="003E30E6" w:rsidRDefault="003E30E6" w:rsidP="00354D61">
      <w:pPr>
        <w:spacing w:before="34" w:line="509" w:lineRule="exact"/>
        <w:textAlignment w:val="baseline"/>
        <w:rPr>
          <w:rFonts w:ascii="Calibri" w:eastAsia="Calibri" w:hAnsi="Calibri"/>
          <w:i/>
          <w:color w:val="2771B2"/>
          <w:spacing w:val="-14"/>
          <w:w w:val="110"/>
          <w:sz w:val="48"/>
        </w:rPr>
      </w:pPr>
    </w:p>
    <w:sectPr w:rsidR="003E30E6">
      <w:pgSz w:w="12240" w:h="15840"/>
      <w:pgMar w:top="840" w:right="1679" w:bottom="170" w:left="4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3F3E8" w14:textId="77777777" w:rsidR="00354D61" w:rsidRDefault="00354D61">
      <w:r>
        <w:separator/>
      </w:r>
    </w:p>
  </w:endnote>
  <w:endnote w:type="continuationSeparator" w:id="0">
    <w:p w14:paraId="0EFD7521" w14:textId="77777777" w:rsidR="00354D61" w:rsidRDefault="0035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6DCF" w14:textId="77777777" w:rsidR="003E30E6" w:rsidRDefault="003E30E6"/>
  </w:footnote>
  <w:footnote w:type="continuationSeparator" w:id="0">
    <w:p w14:paraId="1E9F5C43" w14:textId="77777777" w:rsidR="003E30E6" w:rsidRDefault="00354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B03DF"/>
    <w:multiLevelType w:val="multilevel"/>
    <w:tmpl w:val="76AE8F5C"/>
    <w:lvl w:ilvl="0">
      <w:numFmt w:val="bullet"/>
      <w:lvlText w:val="o"/>
      <w:lvlJc w:val="left"/>
      <w:pPr>
        <w:tabs>
          <w:tab w:val="left" w:pos="144"/>
        </w:tabs>
      </w:pPr>
      <w:rPr>
        <w:rFonts w:ascii="Courier New" w:eastAsia="Courier New" w:hAnsi="Courier New"/>
        <w:color w:val="1F497D"/>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04C77"/>
    <w:multiLevelType w:val="multilevel"/>
    <w:tmpl w:val="66FEA52A"/>
    <w:lvl w:ilvl="0">
      <w:numFmt w:val="bullet"/>
      <w:lvlText w:val="o"/>
      <w:lvlJc w:val="left"/>
      <w:pPr>
        <w:tabs>
          <w:tab w:val="left" w:pos="288"/>
        </w:tabs>
      </w:pPr>
      <w:rPr>
        <w:rFonts w:ascii="Courier New" w:eastAsia="Courier New" w:hAnsi="Courier New"/>
        <w:b/>
        <w:color w:val="1F497D"/>
        <w:spacing w:val="0"/>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1169FB"/>
    <w:multiLevelType w:val="multilevel"/>
    <w:tmpl w:val="37C032AA"/>
    <w:lvl w:ilvl="0">
      <w:numFmt w:val="bullet"/>
      <w:lvlText w:val="·"/>
      <w:lvlJc w:val="left"/>
      <w:pPr>
        <w:tabs>
          <w:tab w:val="left" w:pos="432"/>
        </w:tabs>
      </w:pPr>
      <w:rPr>
        <w:rFonts w:ascii="Symbol" w:eastAsia="Symbol" w:hAnsi="Symbol"/>
        <w:color w:val="1F497D"/>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C904AB"/>
    <w:multiLevelType w:val="multilevel"/>
    <w:tmpl w:val="678E0F3C"/>
    <w:lvl w:ilvl="0">
      <w:numFmt w:val="bullet"/>
      <w:lvlText w:val="o"/>
      <w:lvlJc w:val="left"/>
      <w:pPr>
        <w:tabs>
          <w:tab w:val="left" w:pos="360"/>
        </w:tabs>
      </w:pPr>
      <w:rPr>
        <w:rFonts w:ascii="Courier New" w:eastAsia="Courier New" w:hAnsi="Courier New"/>
        <w:color w:val="1F497D"/>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77323F"/>
    <w:multiLevelType w:val="multilevel"/>
    <w:tmpl w:val="CF98853E"/>
    <w:lvl w:ilvl="0">
      <w:numFmt w:val="bullet"/>
      <w:lvlText w:val="·"/>
      <w:lvlJc w:val="left"/>
      <w:pPr>
        <w:tabs>
          <w:tab w:val="left" w:pos="360"/>
        </w:tabs>
      </w:pPr>
      <w:rPr>
        <w:rFonts w:ascii="Symbol" w:eastAsia="Symbol" w:hAnsi="Symbol"/>
        <w:color w:val="1F497D"/>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2348612">
    <w:abstractNumId w:val="4"/>
  </w:num>
  <w:num w:numId="2" w16cid:durableId="1113941710">
    <w:abstractNumId w:val="2"/>
  </w:num>
  <w:num w:numId="3" w16cid:durableId="629702079">
    <w:abstractNumId w:val="3"/>
  </w:num>
  <w:num w:numId="4" w16cid:durableId="1551453537">
    <w:abstractNumId w:val="1"/>
  </w:num>
  <w:num w:numId="5" w16cid:durableId="205746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0E6"/>
    <w:rsid w:val="00054A71"/>
    <w:rsid w:val="00354D61"/>
    <w:rsid w:val="003E30E6"/>
    <w:rsid w:val="0076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1588460"/>
  <w15:docId w15:val="{CC9D8A6A-29AF-4484-B56F-99EB793F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653</Words>
  <Characters>3869</Characters>
  <Application>Microsoft Office Word</Application>
  <DocSecurity>0</DocSecurity>
  <Lines>118</Lines>
  <Paragraphs>88</Paragraphs>
  <ScaleCrop>false</ScaleCrop>
  <HeadingPairs>
    <vt:vector size="2" baseType="variant">
      <vt:variant>
        <vt:lpstr>Title</vt:lpstr>
      </vt:variant>
      <vt:variant>
        <vt:i4>1</vt:i4>
      </vt:variant>
    </vt:vector>
  </HeadingPairs>
  <TitlesOfParts>
    <vt:vector size="1" baseType="lpstr">
      <vt:lpstr>LB 840 Activity Summary 1-13-25</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 840 Activity Summary 1-13-25</dc:title>
  <dc:creator>Ron Tillery</dc:creator>
  <cp:lastModifiedBy>Dane Jensen</cp:lastModifiedBy>
  <cp:revision>2</cp:revision>
  <dcterms:created xsi:type="dcterms:W3CDTF">2025-01-23T13:55:00Z</dcterms:created>
  <dcterms:modified xsi:type="dcterms:W3CDTF">2025-01-23T13:55:00Z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f0fed7a2d7e1c64f03ce7a734ded8ea4d5bb8d651e787bb124118e5b34714b09</vt:lpwstr>
  </property>
</Properties>
</file>